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header6.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body>
    <w:bookmarkStart w:id="0" w:name="_top"/>
    <w:bookmarkEnd w:id="0"/>
    <w:p>
      <w:pPr>
        <w:pStyle w:val="0"/>
        <w:widowControl w:val="off"/>
        <w:pBdr>
          <w:top w:val="none" w:color="000000" w:sz="2" w:space="1"/>
          <w:left w:val="none" w:color="000000" w:sz="2" w:space="4"/>
          <w:bottom w:val="none" w:color="000000" w:sz="2" w:space="1"/>
          <w:right w:val="none" w:color="000000" w:sz="2" w:space="4"/>
        </w:pBdr>
      </w:pPr>
      <w:r>
        <w:rPr>
          <w:rFonts w:ascii="Calibri"/>
          <w:b/>
          <w:sz w:val="26"/>
        </w:rPr>
        <w:t>Data paper for submission to the Journal of Open Archaeology Data</w:t>
      </w:r>
    </w:p>
    <w:p>
      <w:pPr>
        <w:pStyle w:val="0"/>
        <w:widowControl w:val="off"/>
        <w:pBdr>
          <w:top w:val="none" w:color="000000" w:sz="2" w:space="1"/>
          <w:left w:val="none" w:color="000000" w:sz="2" w:space="4"/>
          <w:bottom w:val="none" w:color="000000" w:sz="2" w:space="1"/>
          <w:right w:val="none" w:color="000000" w:sz="2" w:space="4"/>
        </w:pBdr>
        <w:rPr>
          <w:rFonts w:ascii="Calibri"/>
          <w:color w:val="000000"/>
        </w:rPr>
      </w:pPr>
    </w:p>
    <w:p>
      <w:pPr>
        <w:pStyle w:val="0"/>
        <w:widowControl w:val="off"/>
        <w:pBdr>
          <w:top w:val="none" w:color="000000" w:sz="2" w:space="1"/>
          <w:left w:val="none" w:color="000000" w:sz="2" w:space="4"/>
          <w:bottom w:val="none" w:color="000000" w:sz="2" w:space="1"/>
          <w:right w:val="none" w:color="000000" w:sz="2" w:space="4"/>
        </w:pBdr>
      </w:pPr>
      <w:r>
        <w:rPr>
          <w:rFonts w:ascii="Calibri"/>
        </w:rPr>
        <w:t>To complete this template, please replace the blue text with your own. The paper has four main sections: (1) Overview; (2) Methods; (3) Dataset description; (4) Reuse potential. Your article should not exceed 5000 words, including bibliography.</w:t>
      </w:r>
    </w:p>
    <w:p>
      <w:pPr>
        <w:pStyle w:val="0"/>
        <w:widowControl w:val="off"/>
        <w:pBdr>
          <w:top w:val="none" w:color="000000" w:sz="2" w:space="1"/>
          <w:left w:val="none" w:color="000000" w:sz="2" w:space="4"/>
          <w:bottom w:val="none" w:color="000000" w:sz="2" w:space="1"/>
          <w:right w:val="none" w:color="000000" w:sz="2" w:space="4"/>
        </w:pBdr>
        <w:rPr>
          <w:rFonts w:ascii="Calibri"/>
          <w:color w:val="000000"/>
        </w:rPr>
      </w:pPr>
    </w:p>
    <w:p>
      <w:pPr>
        <w:pStyle w:val="0"/>
        <w:widowControl w:val="off"/>
        <w:pBdr>
          <w:top w:val="none" w:color="000000" w:sz="2" w:space="1"/>
          <w:left w:val="none" w:color="000000" w:sz="2" w:space="4"/>
          <w:bottom w:val="none" w:color="000000" w:sz="2" w:space="1"/>
          <w:right w:val="none" w:color="000000" w:sz="2" w:space="4"/>
        </w:pBdr>
      </w:pPr>
      <w:r>
        <w:rPr>
          <w:rFonts w:ascii="Calibri"/>
        </w:rPr>
        <w:t>Please submit the completed paper to: joad.editor@ubiquitypress.com</w:t>
      </w:r>
    </w:p>
    <w:p>
      <w:pPr>
        <w:pStyle w:val="0"/>
        <w:widowControl w:val="off"/>
        <w:pBdr>
          <w:top w:val="none" w:color="000000" w:sz="2" w:space="1"/>
          <w:left w:val="none" w:color="000000" w:sz="2" w:space="4"/>
          <w:bottom w:val="single" w:color="0a0000" w:sz="6" w:space="1"/>
          <w:right w:val="none" w:color="000000" w:sz="2" w:space="4"/>
        </w:pBdr>
        <w:rPr>
          <w:rFonts w:ascii="Calibri"/>
          <w:color w:val="000000"/>
        </w:rPr>
      </w:pPr>
    </w:p>
    <w:p>
      <w:pPr>
        <w:pStyle w:val="0"/>
        <w:widowControl w:val="off"/>
        <w:pBdr>
          <w:top w:val="none" w:color="000000" w:sz="2" w:space="1"/>
          <w:left w:val="none" w:color="000000" w:sz="2" w:space="4"/>
          <w:bottom w:val="none" w:color="000000" w:sz="2" w:space="1"/>
          <w:right w:val="none" w:color="000000" w:sz="2" w:space="4"/>
        </w:pBdr>
        <w:rPr>
          <w:rFonts w:ascii="Calibri"/>
          <w:color w:val="000000"/>
        </w:rPr>
      </w:pPr>
    </w:p>
    <w:p>
      <w:pPr>
        <w:pStyle w:val="0"/>
        <w:widowControl w:val="off"/>
        <w:pBdr>
          <w:top w:val="none" w:color="000000" w:sz="2" w:space="1"/>
          <w:left w:val="none" w:color="000000" w:sz="2" w:space="4"/>
          <w:bottom w:val="none" w:color="000000" w:sz="2" w:space="1"/>
          <w:right w:val="none" w:color="000000" w:sz="2" w:space="4"/>
        </w:pBdr>
      </w:pPr>
      <w:r>
        <w:rPr>
          <w:rFonts w:ascii="Calibri"/>
          <w:b/>
          <w:sz w:val="26"/>
        </w:rPr>
        <w:t>(1) Overview</w:t>
      </w:r>
    </w:p>
    <w:p>
      <w:pPr>
        <w:pStyle w:val="0"/>
        <w:widowControl w:val="off"/>
        <w:pBdr>
          <w:top w:val="none" w:color="000000" w:sz="2" w:space="1"/>
          <w:left w:val="none" w:color="000000" w:sz="2" w:space="4"/>
          <w:bottom w:val="none" w:color="000000" w:sz="2" w:space="1"/>
          <w:right w:val="none" w:color="000000" w:sz="2" w:space="4"/>
        </w:pBdr>
        <w:rPr>
          <w:rFonts w:ascii="Calibri"/>
          <w:b/>
          <w:color w:val="000000"/>
          <w:sz w:val="26"/>
        </w:rPr>
      </w:pPr>
    </w:p>
    <w:p>
      <w:pPr>
        <w:pStyle w:val="7"/>
        <w:widowControl w:val="off"/>
        <w:pBdr>
          <w:top w:val="none" w:color="000000" w:sz="2" w:space="1"/>
          <w:left w:val="none" w:color="000000" w:sz="2" w:space="4"/>
          <w:bottom w:val="none" w:color="000000" w:sz="2" w:space="1"/>
          <w:right w:val="none" w:color="000000" w:sz="2" w:space="4"/>
        </w:pBdr>
      </w:pPr>
      <w:r>
        <w:rPr>
          <w:rFonts w:ascii="Calibri"/>
          <w:sz w:val="26"/>
        </w:rPr>
        <w:t>Title</w:t>
      </w:r>
    </w:p>
    <w:p>
      <w:pPr>
        <w:pStyle w:val="7"/>
        <w:widowControl w:val="off"/>
        <w:pBdr>
          <w:top w:val="none" w:color="000000" w:sz="2" w:space="1"/>
          <w:left w:val="none" w:color="000000" w:sz="2" w:space="4"/>
          <w:bottom w:val="none" w:color="000000" w:sz="2" w:space="1"/>
          <w:right w:val="none" w:color="000000" w:sz="2" w:space="4"/>
        </w:pBdr>
      </w:pPr>
      <w:r>
        <w:rPr>
          <w:rFonts w:ascii="Calibri"/>
          <w:sz w:val="26"/>
        </w:rPr>
        <w:t>Radiocarbon Dates Data for an Integrated Study of the Baekje Hanseong Region.</w:t>
      </w:r>
    </w:p>
    <w:p>
      <w:pPr>
        <w:pStyle w:val="0"/>
        <w:widowControl w:val="off"/>
        <w:pBdr>
          <w:top w:val="none" w:color="000000" w:sz="2" w:space="1"/>
          <w:left w:val="none" w:color="000000" w:sz="2" w:space="4"/>
          <w:bottom w:val="none" w:color="000000" w:sz="2" w:space="1"/>
          <w:right w:val="none" w:color="000000" w:sz="2" w:space="4"/>
        </w:pBdr>
        <w:rPr>
          <w:rFonts w:ascii="Calibri"/>
          <w:color w:val="000000"/>
        </w:rPr>
      </w:pPr>
    </w:p>
    <w:p>
      <w:pPr>
        <w:pStyle w:val="8"/>
        <w:widowControl w:val="off"/>
        <w:pBdr>
          <w:top w:val="none" w:color="000000" w:sz="2" w:space="1"/>
          <w:left w:val="none" w:color="000000" w:sz="2" w:space="4"/>
          <w:bottom w:val="none" w:color="000000" w:sz="2" w:space="1"/>
          <w:right w:val="none" w:color="000000" w:sz="2" w:space="4"/>
        </w:pBdr>
      </w:pPr>
      <w:r>
        <w:rPr>
          <w:rFonts w:ascii="Calibri"/>
        </w:rPr>
        <w:t>Paper Authors</w:t>
      </w:r>
      <w:bookmarkStart w:id="1" w:name="_GoBack"/>
      <w:bookmarkEnd w:id="1"/>
    </w:p>
    <w:p>
      <w:pPr>
        <w:pStyle w:val="0"/>
        <w:widowControl w:val="off"/>
        <w:pBdr>
          <w:top w:val="none" w:color="000000" w:sz="2" w:space="1"/>
          <w:left w:val="none" w:color="000000" w:sz="2" w:space="4"/>
          <w:bottom w:val="none" w:color="000000" w:sz="2" w:space="1"/>
          <w:right w:val="none" w:color="000000" w:sz="2" w:space="4"/>
        </w:pBdr>
      </w:pPr>
      <w:r>
        <w:rPr>
          <w:rFonts w:ascii="Calibri"/>
        </w:rPr>
        <w:t xml:space="preserve">1. Ju Chanhyeok </w:t>
      </w:r>
      <w:r>
        <w:rPr>
          <w:rFonts w:ascii="Calibri"/>
          <w:i/>
        </w:rPr>
        <w:t>(corresponding author)</w:t>
      </w:r>
    </w:p>
    <w:p>
      <w:pPr>
        <w:pStyle w:val="0"/>
        <w:widowControl w:val="off"/>
        <w:pBdr>
          <w:top w:val="none" w:color="000000" w:sz="2" w:space="1"/>
          <w:left w:val="none" w:color="000000" w:sz="2" w:space="4"/>
          <w:bottom w:val="none" w:color="000000" w:sz="2" w:space="1"/>
          <w:right w:val="none" w:color="000000" w:sz="2" w:space="4"/>
        </w:pBdr>
      </w:pPr>
      <w:r>
        <w:rPr>
          <w:rFonts w:ascii="Calibri"/>
        </w:rPr>
        <w:t>2. Dzon Sewon</w:t>
      </w:r>
    </w:p>
    <w:p>
      <w:pPr>
        <w:pStyle w:val="0"/>
        <w:widowControl w:val="off"/>
        <w:pBdr>
          <w:top w:val="none" w:color="000000" w:sz="2" w:space="1"/>
          <w:left w:val="none" w:color="000000" w:sz="2" w:space="4"/>
          <w:bottom w:val="none" w:color="000000" w:sz="2" w:space="1"/>
          <w:right w:val="none" w:color="000000" w:sz="2" w:space="4"/>
        </w:pBdr>
      </w:pPr>
      <w:r>
        <w:rPr>
          <w:rFonts w:ascii="Calibri"/>
        </w:rPr>
        <w:t>3. Park Hyeonghoo</w:t>
      </w:r>
    </w:p>
    <w:p>
      <w:pPr>
        <w:pStyle w:val="0"/>
        <w:widowControl w:val="off"/>
        <w:pBdr>
          <w:top w:val="none" w:color="000000" w:sz="2" w:space="1"/>
          <w:left w:val="none" w:color="000000" w:sz="2" w:space="4"/>
          <w:bottom w:val="none" w:color="000000" w:sz="2" w:space="1"/>
          <w:right w:val="none" w:color="000000" w:sz="2" w:space="4"/>
        </w:pBdr>
        <w:rPr>
          <w:rFonts w:ascii="Calibri"/>
          <w:color w:val="000000"/>
        </w:rPr>
      </w:pPr>
    </w:p>
    <w:p>
      <w:pPr>
        <w:pStyle w:val="8"/>
        <w:widowControl w:val="off"/>
        <w:pBdr>
          <w:top w:val="none" w:color="000000" w:sz="2" w:space="1"/>
          <w:left w:val="none" w:color="000000" w:sz="2" w:space="4"/>
          <w:bottom w:val="none" w:color="000000" w:sz="2" w:space="1"/>
          <w:right w:val="none" w:color="000000" w:sz="2" w:space="4"/>
        </w:pBdr>
      </w:pPr>
      <w:r>
        <w:rPr>
          <w:rFonts w:ascii="Calibri"/>
        </w:rPr>
        <w:t>Paper Author Roles and Affiliations</w:t>
      </w:r>
    </w:p>
    <w:p>
      <w:pPr>
        <w:pStyle w:val="0"/>
        <w:widowControl w:val="off"/>
        <w:pBdr>
          <w:top w:val="none" w:color="000000" w:sz="2" w:space="1"/>
          <w:left w:val="none" w:color="000000" w:sz="2" w:space="4"/>
          <w:bottom w:val="none" w:color="000000" w:sz="2" w:space="1"/>
          <w:right w:val="none" w:color="000000" w:sz="2" w:space="4"/>
        </w:pBdr>
      </w:pPr>
      <w:r>
        <w:rPr>
          <w:rFonts w:ascii="Calibri"/>
        </w:rPr>
        <w:t>1. Seoul National Research Institute of Cultural Heritage, Seoul, Korea</w:t>
      </w:r>
    </w:p>
    <w:p>
      <w:pPr>
        <w:pStyle w:val="0"/>
        <w:widowControl w:val="off"/>
        <w:pBdr>
          <w:top w:val="none" w:color="000000" w:sz="2" w:space="1"/>
          <w:left w:val="none" w:color="000000" w:sz="2" w:space="4"/>
          <w:bottom w:val="none" w:color="000000" w:sz="2" w:space="1"/>
          <w:right w:val="none" w:color="000000" w:sz="2" w:space="4"/>
        </w:pBdr>
      </w:pPr>
      <w:r>
        <w:rPr>
          <w:rFonts w:ascii="Calibri"/>
        </w:rPr>
        <w:t>2. Archaeological Heritage Division, National Research Institute of Cultural Heritage, Daejeon, Korea</w:t>
      </w:r>
    </w:p>
    <w:p>
      <w:pPr>
        <w:pStyle w:val="0"/>
        <w:widowControl w:val="off"/>
        <w:pBdr>
          <w:top w:val="none" w:color="000000" w:sz="2" w:space="1"/>
          <w:left w:val="none" w:color="000000" w:sz="2" w:space="4"/>
          <w:bottom w:val="none" w:color="000000" w:sz="2" w:space="1"/>
          <w:right w:val="none" w:color="000000" w:sz="2" w:space="4"/>
        </w:pBdr>
      </w:pPr>
      <w:r>
        <w:rPr>
          <w:rFonts w:ascii="Calibri"/>
        </w:rPr>
        <w:t>3. Seoul National Research Institute of Cultural Heritage, Seoul, Korea</w:t>
      </w:r>
    </w:p>
    <w:p>
      <w:pPr>
        <w:pStyle w:val="0"/>
        <w:widowControl w:val="off"/>
        <w:pBdr>
          <w:top w:val="none" w:color="000000" w:sz="2" w:space="1"/>
          <w:left w:val="none" w:color="000000" w:sz="2" w:space="4"/>
          <w:bottom w:val="none" w:color="000000" w:sz="2" w:space="1"/>
          <w:right w:val="none" w:color="000000" w:sz="2" w:space="4"/>
        </w:pBdr>
        <w:rPr>
          <w:rFonts w:ascii="Calibri"/>
          <w:color w:val="000000"/>
        </w:rPr>
      </w:pPr>
    </w:p>
    <w:p>
      <w:pPr>
        <w:pStyle w:val="8"/>
        <w:widowControl w:val="off"/>
        <w:pBdr>
          <w:top w:val="none" w:color="000000" w:sz="2" w:space="1"/>
          <w:left w:val="none" w:color="000000" w:sz="2" w:space="4"/>
          <w:bottom w:val="none" w:color="000000" w:sz="2" w:space="1"/>
          <w:right w:val="none" w:color="000000" w:sz="2" w:space="4"/>
        </w:pBdr>
      </w:pPr>
      <w:r>
        <w:rPr>
          <w:rFonts w:ascii="Calibri"/>
        </w:rPr>
        <w:t>Abstract</w:t>
      </w:r>
    </w:p>
    <w:p>
      <w:pPr>
        <w:pStyle w:val="0"/>
        <w:widowControl w:val="off"/>
        <w:pBdr>
          <w:top w:val="none" w:color="000000" w:sz="2" w:space="1"/>
          <w:left w:val="none" w:color="000000" w:sz="2" w:space="4"/>
          <w:bottom w:val="none" w:color="000000" w:sz="2" w:space="1"/>
          <w:right w:val="none" w:color="000000" w:sz="2" w:space="4"/>
        </w:pBdr>
      </w:pPr>
      <w:r>
        <w:rPr>
          <w:rFonts w:ascii="Calibri"/>
        </w:rPr>
        <w:t>This dataset compiles radiocarbon dates data from the Hanseong region (?</w:t>
      </w:r>
      <w:r>
        <w:rPr>
          <w:rFonts w:ascii="Calibri"/>
        </w:rPr>
        <w:t>–</w:t>
      </w:r>
      <w:r>
        <w:rPr>
          <w:rFonts w:ascii="Calibri"/>
        </w:rPr>
        <w:t>A.D. 475), the first capital of Baekje. The data were collected from archaeological excavation reports published since the 1980s, and reliability was secured through a process of standardization and four-step verification. Each case consists of uncalibrated dates, Lab ID, sample material, and archaeological context. This dataset provides a temporal framework for understanding the formation and development of Hanseong Baekje and supports integrated research on the early formation and development of Baekje through spatiotemporal and GIS-based analysis.</w:t>
      </w:r>
    </w:p>
    <w:p>
      <w:pPr>
        <w:pStyle w:val="0"/>
        <w:widowControl w:val="off"/>
        <w:pBdr>
          <w:top w:val="none" w:color="000000" w:sz="2" w:space="1"/>
          <w:left w:val="none" w:color="000000" w:sz="2" w:space="4"/>
          <w:bottom w:val="none" w:color="000000" w:sz="2" w:space="1"/>
          <w:right w:val="none" w:color="000000" w:sz="2" w:space="4"/>
        </w:pBdr>
        <w:rPr>
          <w:rFonts w:ascii="Calibri"/>
          <w:color w:val="000000"/>
        </w:rPr>
      </w:pPr>
    </w:p>
    <w:p>
      <w:pPr>
        <w:pStyle w:val="8"/>
        <w:widowControl w:val="off"/>
        <w:pBdr>
          <w:top w:val="none" w:color="000000" w:sz="2" w:space="1"/>
          <w:left w:val="none" w:color="000000" w:sz="2" w:space="4"/>
          <w:bottom w:val="none" w:color="000000" w:sz="2" w:space="1"/>
          <w:right w:val="none" w:color="000000" w:sz="2" w:space="4"/>
        </w:pBdr>
      </w:pPr>
      <w:r>
        <w:rPr>
          <w:rFonts w:ascii="Calibri"/>
        </w:rPr>
        <w:t>Keywords</w:t>
      </w:r>
    </w:p>
    <w:p>
      <w:pPr>
        <w:pStyle w:val="0"/>
        <w:widowControl w:val="off"/>
        <w:pBdr>
          <w:top w:val="none" w:color="000000" w:sz="2" w:space="1"/>
          <w:left w:val="none" w:color="000000" w:sz="2" w:space="4"/>
          <w:bottom w:val="none" w:color="000000" w:sz="2" w:space="1"/>
          <w:right w:val="none" w:color="000000" w:sz="2" w:space="4"/>
        </w:pBdr>
      </w:pPr>
      <w:r>
        <w:rPr>
          <w:rFonts w:ascii="Calibri"/>
        </w:rPr>
        <w:t>Radiocarbon dates; Korean archaeology; Hanseong period of Baekje</w:t>
      </w:r>
    </w:p>
    <w:p>
      <w:pPr>
        <w:pStyle w:val="0"/>
        <w:widowControl w:val="off"/>
        <w:pBdr>
          <w:top w:val="none" w:color="000000" w:sz="2" w:space="1"/>
          <w:left w:val="none" w:color="000000" w:sz="2" w:space="4"/>
          <w:bottom w:val="none" w:color="000000" w:sz="2" w:space="1"/>
          <w:right w:val="none" w:color="000000" w:sz="2" w:space="4"/>
        </w:pBdr>
        <w:rPr>
          <w:rFonts w:ascii="Calibri"/>
          <w:color w:val="000000"/>
        </w:rPr>
      </w:pPr>
    </w:p>
    <w:p>
      <w:pPr>
        <w:pStyle w:val="8"/>
        <w:widowControl w:val="off"/>
        <w:pBdr>
          <w:top w:val="none" w:color="000000" w:sz="2" w:space="1"/>
          <w:left w:val="none" w:color="000000" w:sz="2" w:space="4"/>
          <w:bottom w:val="none" w:color="000000" w:sz="2" w:space="1"/>
          <w:right w:val="none" w:color="000000" w:sz="2" w:space="4"/>
        </w:pBdr>
      </w:pPr>
      <w:r>
        <w:rPr>
          <w:rFonts w:ascii="Calibri"/>
        </w:rPr>
        <w:t>Context</w:t>
      </w:r>
    </w:p>
    <w:p>
      <w:pPr>
        <w:pStyle w:val="8"/>
        <w:widowControl w:val="off"/>
        <w:pBdr>
          <w:top w:val="none" w:color="000000" w:sz="2" w:space="1"/>
          <w:left w:val="none" w:color="000000" w:sz="2" w:space="4"/>
          <w:bottom w:val="none" w:color="000000" w:sz="2" w:space="1"/>
          <w:right w:val="none" w:color="000000" w:sz="2" w:space="4"/>
        </w:pBdr>
      </w:pPr>
      <w:r>
        <w:rPr>
          <w:rFonts w:ascii="Calibri"/>
          <w:b w:val="0"/>
          <w:sz w:val="24"/>
        </w:rPr>
        <w:t xml:space="preserve">The Hanseong region served as the central hub for the origin and development of Baekje, a kingdom that existed on the Korean Peninsula from approximately the 1st century B.C. to A.D. 660. Baekje relocated its capital twice throughout its history; the Hanseong region functioned as the kingdom's first capital and political stronghold until its fall to Goguryeo in A.D. 475. Most notably, the region has garnered significant academic attention as it provides relatively clear evidence of the evolutionary process from a small local polity into an ancient state. Geographically, it is situated in the Songpa-gu area, one of the most highly urbanized districts within Seoul, the capital of South Korea. Archaeological excavations in this region commenced in earnest during the 1980s, spurred by regional development projects in preparation for the 1988 Seoul Olympics, and have continued to the present day. </w:t>
      </w:r>
    </w:p>
    <w:p>
      <w:pPr>
        <w:pStyle w:val="8"/>
        <w:widowControl w:val="off"/>
        <w:pBdr>
          <w:top w:val="none" w:color="000000" w:sz="2" w:space="1"/>
          <w:left w:val="none" w:color="000000" w:sz="2" w:space="4"/>
          <w:bottom w:val="none" w:color="000000" w:sz="2" w:space="1"/>
          <w:right w:val="none" w:color="000000" w:sz="2" w:space="4"/>
        </w:pBdr>
        <w:ind w:firstLine="240"/>
      </w:pPr>
      <w:r>
        <w:rPr>
          <w:rFonts w:ascii="Calibri"/>
          <w:b w:val="0"/>
          <w:sz w:val="24"/>
        </w:rPr>
        <w:t>Although scholarly debate persists regarding the precise spatial extent of the Hanseong region, it generally refers to the area enclosed by the natural and artificial boundaries formed by the Han River, Samsungdongtoseong, Amsa-dong, and Garak-dong. Centering on the royal fortresses of Pungnaptoseong and Mongchontoseong, numerous ancient tomb complexes and residential sites are distributed throughout the region. During the initial stages of research, investigations primarily focused on major sites with relatively well-preserved archaeological features, including Pungnaptoseong, Mongchontoseong, and the Seokchon-dong ancient tomb complex. Recently, however, the scope of archaeological investigations has expanded to include general residential areas as a result of active urban redevelopment projects. To date, excavations have been conducted in a total of 22 districts; the radiocarbon dating results accumulated from these sites serve as the foundation for constructing a precise chronological dataset, which facilitates multifaceted discussions regarding key academic issues in the Hanseong region.</w:t>
      </w:r>
    </w:p>
    <w:p>
      <w:pPr>
        <w:pStyle w:val="8"/>
        <w:widowControl w:val="off"/>
        <w:pBdr>
          <w:top w:val="none" w:color="000000" w:sz="2" w:space="1"/>
          <w:left w:val="none" w:color="000000" w:sz="2" w:space="4"/>
          <w:bottom w:val="none" w:color="000000" w:sz="2" w:space="1"/>
          <w:right w:val="none" w:color="000000" w:sz="2" w:space="4"/>
        </w:pBdr>
        <w:ind w:firstLine="240"/>
        <w:rPr>
          <w:rFonts w:ascii="Calibri"/>
          <w:b w:val="0"/>
          <w:color w:val="000000"/>
          <w:sz w:val="24"/>
        </w:rPr>
      </w:pPr>
    </w:p>
    <w:p>
      <w:pPr>
        <w:pStyle w:val="8"/>
        <w:widowControl w:val="off"/>
        <w:pBdr>
          <w:top w:val="none" w:color="000000" w:sz="2" w:space="1"/>
          <w:left w:val="none" w:color="000000" w:sz="2" w:space="4"/>
          <w:bottom w:val="none" w:color="000000" w:sz="2" w:space="1"/>
          <w:right w:val="none" w:color="000000" w:sz="2" w:space="4"/>
        </w:pBdr>
        <w:rPr>
          <w:rFonts w:ascii="Calibri"/>
          <w:color w:val="000000"/>
          <w:sz w:val="10"/>
        </w:rPr>
      </w:pPr>
    </w:p>
    <w:p>
      <w:pPr>
        <w:pStyle w:val="8"/>
        <w:widowControl w:val="off"/>
        <w:pBdr>
          <w:top w:val="none" w:color="000000" w:sz="2" w:space="1"/>
          <w:left w:val="none" w:color="000000" w:sz="2" w:space="4"/>
          <w:bottom w:val="none" w:color="000000" w:sz="2" w:space="1"/>
          <w:right w:val="none" w:color="000000" w:sz="2" w:space="4"/>
        </w:pBdr>
      </w:pPr>
      <w:r>
        <w:rPr>
          <w:rFonts w:ascii="Calibri"/>
          <w:i/>
        </w:rPr>
        <w:t>Spatial coverage</w:t>
      </w:r>
    </w:p>
    <w:p>
      <w:pPr>
        <w:pStyle w:val="0"/>
        <w:widowControl w:val="off"/>
        <w:pBdr>
          <w:top w:val="none" w:color="000000" w:sz="2" w:space="1"/>
          <w:left w:val="none" w:color="000000" w:sz="2" w:space="4"/>
          <w:bottom w:val="none" w:color="000000" w:sz="2" w:space="1"/>
          <w:right w:val="none" w:color="000000" w:sz="2" w:space="4"/>
        </w:pBdr>
        <w:rPr>
          <w:rFonts w:ascii="Calibri"/>
          <w:color w:val="000000"/>
        </w:rPr>
      </w:pPr>
    </w:p>
    <w:p>
      <w:pPr>
        <w:pStyle w:val="0"/>
        <w:widowControl w:val="off"/>
        <w:pBdr>
          <w:top w:val="none" w:color="000000" w:sz="2" w:space="1"/>
          <w:left w:val="none" w:color="000000" w:sz="2" w:space="4"/>
          <w:bottom w:val="none" w:color="000000" w:sz="2" w:space="1"/>
          <w:right w:val="none" w:color="000000" w:sz="2" w:space="4"/>
        </w:pBdr>
      </w:pPr>
      <w:r>
        <w:rPr>
          <w:rFonts w:ascii="Calibri"/>
          <w:color w:val="ff0000"/>
        </w:rPr>
        <w:t>[Figure 1] Distribution</w:t>
      </w:r>
    </w:p>
    <w:p>
      <w:pPr>
        <w:pStyle w:val="0"/>
        <w:widowControl w:val="off"/>
        <w:pBdr>
          <w:top w:val="none" w:color="000000" w:sz="2" w:space="1"/>
          <w:left w:val="none" w:color="000000" w:sz="2" w:space="4"/>
          <w:bottom w:val="none" w:color="000000" w:sz="2" w:space="1"/>
          <w:right w:val="none" w:color="000000" w:sz="2" w:space="4"/>
        </w:pBdr>
      </w:pPr>
      <w:r>
        <w:br/>
        <w:rPr>
          <w:rFonts w:ascii="Calibri"/>
        </w:rPr>
        <w:t>Description: Southeastern Seoul</w:t>
      </w:r>
    </w:p>
    <w:p>
      <w:pPr>
        <w:pStyle w:val="0"/>
        <w:widowControl w:val="off"/>
        <w:pBdr>
          <w:top w:val="none" w:color="000000" w:sz="2" w:space="1"/>
          <w:left w:val="none" w:color="000000" w:sz="2" w:space="4"/>
          <w:bottom w:val="none" w:color="000000" w:sz="2" w:space="1"/>
          <w:right w:val="none" w:color="000000" w:sz="2" w:space="4"/>
        </w:pBdr>
      </w:pPr>
      <w:r>
        <w:rPr>
          <w:rFonts w:ascii="Calibri"/>
        </w:rPr>
        <w:t>Northern boundary: +37.563069N</w:t>
      </w:r>
    </w:p>
    <w:p>
      <w:pPr>
        <w:pStyle w:val="0"/>
        <w:widowControl w:val="off"/>
        <w:pBdr>
          <w:top w:val="none" w:color="000000" w:sz="2" w:space="1"/>
          <w:left w:val="none" w:color="000000" w:sz="2" w:space="4"/>
          <w:bottom w:val="none" w:color="000000" w:sz="2" w:space="1"/>
          <w:right w:val="none" w:color="000000" w:sz="2" w:space="4"/>
        </w:pBdr>
      </w:pPr>
      <w:r>
        <w:rPr>
          <w:rFonts w:ascii="Calibri"/>
        </w:rPr>
        <w:t>Southern boundary: +37.494964N</w:t>
      </w:r>
    </w:p>
    <w:p>
      <w:pPr>
        <w:pStyle w:val="0"/>
        <w:widowControl w:val="off"/>
        <w:pBdr>
          <w:top w:val="none" w:color="000000" w:sz="2" w:space="1"/>
          <w:left w:val="none" w:color="000000" w:sz="2" w:space="4"/>
          <w:bottom w:val="none" w:color="000000" w:sz="2" w:space="1"/>
          <w:right w:val="none" w:color="000000" w:sz="2" w:space="4"/>
        </w:pBdr>
      </w:pPr>
      <w:r>
        <w:rPr>
          <w:rFonts w:ascii="Calibri"/>
        </w:rPr>
        <w:t>Eastern boundary: +127.132445E</w:t>
      </w:r>
    </w:p>
    <w:p>
      <w:pPr>
        <w:pStyle w:val="0"/>
        <w:widowControl w:val="off"/>
        <w:pBdr>
          <w:top w:val="none" w:color="000000" w:sz="2" w:space="1"/>
          <w:left w:val="none" w:color="000000" w:sz="2" w:space="4"/>
          <w:bottom w:val="none" w:color="000000" w:sz="2" w:space="1"/>
          <w:right w:val="none" w:color="000000" w:sz="2" w:space="4"/>
        </w:pBdr>
      </w:pPr>
      <w:r>
        <w:rPr>
          <w:rFonts w:ascii="Calibri"/>
        </w:rPr>
        <w:t>Western boundary: +127.059867E</w:t>
      </w:r>
    </w:p>
    <w:p>
      <w:pPr>
        <w:pStyle w:val="0"/>
        <w:widowControl w:val="off"/>
        <w:pBdr>
          <w:top w:val="none" w:color="000000" w:sz="2" w:space="1"/>
          <w:left w:val="none" w:color="000000" w:sz="2" w:space="4"/>
          <w:bottom w:val="none" w:color="000000" w:sz="2" w:space="1"/>
          <w:right w:val="none" w:color="000000" w:sz="2" w:space="4"/>
        </w:pBdr>
        <w:rPr>
          <w:rFonts w:ascii="Calibri"/>
          <w:color w:val="0000ff"/>
        </w:rPr>
      </w:pPr>
    </w:p>
    <w:p>
      <w:pPr>
        <w:pStyle w:val="8"/>
        <w:widowControl w:val="off"/>
        <w:pBdr>
          <w:top w:val="none" w:color="000000" w:sz="2" w:space="1"/>
          <w:left w:val="none" w:color="000000" w:sz="2" w:space="4"/>
          <w:bottom w:val="none" w:color="000000" w:sz="2" w:space="1"/>
          <w:right w:val="none" w:color="000000" w:sz="2" w:space="4"/>
        </w:pBdr>
      </w:pPr>
      <w:r>
        <w:rPr>
          <w:rFonts w:ascii="Calibri"/>
          <w:i/>
        </w:rPr>
        <w:t>Temporal coverage</w:t>
      </w:r>
    </w:p>
    <w:p>
      <w:pPr>
        <w:pStyle w:val="0"/>
        <w:widowControl w:val="off"/>
        <w:pBdr>
          <w:top w:val="none" w:color="000000" w:sz="2" w:space="1"/>
          <w:left w:val="none" w:color="000000" w:sz="2" w:space="4"/>
          <w:bottom w:val="none" w:color="000000" w:sz="2" w:space="1"/>
          <w:right w:val="none" w:color="000000" w:sz="2" w:space="4"/>
        </w:pBdr>
      </w:pPr>
      <w:r>
        <w:rPr>
          <w:rFonts w:ascii="Calibri"/>
        </w:rPr>
        <w:t>Proto-Three Kingdoms period-Hanseong period of Baekje (?-A.D. 475)</w:t>
      </w:r>
    </w:p>
    <w:p>
      <w:pPr>
        <w:pStyle w:val="0"/>
        <w:widowControl w:val="off"/>
        <w:pBdr>
          <w:top w:val="none" w:color="000000" w:sz="2" w:space="1"/>
          <w:left w:val="none" w:color="000000" w:sz="2" w:space="4"/>
          <w:bottom w:val="none" w:color="000000" w:sz="2" w:space="1"/>
          <w:right w:val="none" w:color="000000" w:sz="2" w:space="4"/>
        </w:pBdr>
        <w:rPr>
          <w:rFonts w:ascii="Calibri"/>
          <w:color w:val="0000ff"/>
        </w:rPr>
      </w:pPr>
    </w:p>
    <w:p>
      <w:pPr>
        <w:pStyle w:val="0"/>
        <w:widowControl w:val="off"/>
        <w:pBdr>
          <w:top w:val="none" w:color="000000" w:sz="2" w:space="1"/>
          <w:left w:val="none" w:color="000000" w:sz="2" w:space="4"/>
          <w:bottom w:val="none" w:color="000000" w:sz="2" w:space="1"/>
          <w:right w:val="none" w:color="000000" w:sz="2" w:space="4"/>
        </w:pBdr>
        <w:rPr>
          <w:rFonts w:ascii="Calibri"/>
          <w:color w:val="0000ff"/>
        </w:rPr>
      </w:pPr>
    </w:p>
    <w:p>
      <w:pPr>
        <w:pStyle w:val="8"/>
        <w:widowControl w:val="off"/>
        <w:pBdr>
          <w:top w:val="none" w:color="000000" w:sz="2" w:space="1"/>
          <w:left w:val="none" w:color="000000" w:sz="2" w:space="4"/>
          <w:bottom w:val="none" w:color="000000" w:sz="2" w:space="1"/>
          <w:right w:val="none" w:color="000000" w:sz="2" w:space="4"/>
        </w:pBdr>
      </w:pPr>
      <w:r>
        <w:rPr>
          <w:rFonts w:ascii="Calibri"/>
        </w:rPr>
        <w:t xml:space="preserve"> (2) Methods</w:t>
      </w:r>
    </w:p>
    <w:p>
      <w:pPr>
        <w:pStyle w:val="0"/>
        <w:widowControl w:val="off"/>
        <w:pBdr>
          <w:top w:val="none" w:color="000000" w:sz="2" w:space="1"/>
          <w:left w:val="none" w:color="000000" w:sz="2" w:space="4"/>
          <w:bottom w:val="none" w:color="000000" w:sz="2" w:space="1"/>
          <w:right w:val="none" w:color="000000" w:sz="2" w:space="4"/>
        </w:pBdr>
        <w:rPr>
          <w:rFonts w:ascii="Calibri"/>
          <w:color w:val="000000"/>
        </w:rPr>
      </w:pPr>
    </w:p>
    <w:p>
      <w:pPr>
        <w:pStyle w:val="0"/>
        <w:widowControl w:val="off"/>
        <w:pBdr>
          <w:top w:val="none" w:color="000000" w:sz="2" w:space="1"/>
          <w:left w:val="none" w:color="000000" w:sz="2" w:space="4"/>
          <w:bottom w:val="none" w:color="000000" w:sz="2" w:space="1"/>
          <w:right w:val="none" w:color="000000" w:sz="2" w:space="4"/>
        </w:pBdr>
      </w:pPr>
      <w:r>
        <w:rPr>
          <w:rFonts w:ascii="Calibri"/>
          <w:b/>
          <w:i/>
        </w:rPr>
        <w:t>Steps</w:t>
      </w:r>
    </w:p>
    <w:p>
      <w:pPr>
        <w:pStyle w:val="0"/>
        <w:widowControl w:val="off"/>
        <w:pBdr>
          <w:top w:val="none" w:color="000000" w:sz="2" w:space="1"/>
          <w:left w:val="none" w:color="000000" w:sz="2" w:space="4"/>
          <w:bottom w:val="none" w:color="000000" w:sz="2" w:space="1"/>
          <w:right w:val="none" w:color="000000" w:sz="2" w:space="4"/>
        </w:pBdr>
      </w:pPr>
      <w:r>
        <w:rPr>
          <w:rFonts w:ascii="Calibri"/>
        </w:rPr>
        <w:t>This dataset synthesizes the radiocarbon dates identified in the Hanseong region. The data were produced between 2025 and 2026 and established through a four-step process:</w:t>
      </w:r>
    </w:p>
    <w:p>
      <w:pPr>
        <w:pStyle w:val="0"/>
        <w:widowControl w:val="off"/>
        <w:pBdr>
          <w:top w:val="none" w:color="000000" w:sz="2" w:space="1"/>
          <w:left w:val="none" w:color="000000" w:sz="2" w:space="4"/>
          <w:bottom w:val="none" w:color="000000" w:sz="2" w:space="1"/>
          <w:right w:val="none" w:color="000000" w:sz="2" w:space="4"/>
        </w:pBdr>
        <w:ind w:firstLine="240"/>
      </w:pPr>
      <w:r>
        <w:rPr>
          <w:rFonts w:ascii="Calibri"/>
        </w:rPr>
        <w:t>Step 1: Archaeological excavation reports and academic journals related to the Hanseong region, published from the 1980s to the present, were collected.</w:t>
      </w:r>
    </w:p>
    <w:p>
      <w:pPr>
        <w:pStyle w:val="0"/>
        <w:widowControl w:val="off"/>
        <w:pBdr>
          <w:top w:val="none" w:color="000000" w:sz="2" w:space="1"/>
          <w:left w:val="none" w:color="000000" w:sz="2" w:space="4"/>
          <w:bottom w:val="none" w:color="000000" w:sz="2" w:space="1"/>
          <w:right w:val="none" w:color="000000" w:sz="2" w:space="4"/>
        </w:pBdr>
        <w:ind w:firstLine="240"/>
      </w:pPr>
      <w:r>
        <w:rPr>
          <w:rFonts w:ascii="Calibri"/>
        </w:rPr>
        <w:t>Step 2: Radiocarbon dates recorded in the reports were extracted. In this step, uncalibrated dates were primarily collected, along with metadata such as Lab IDs and sample material.</w:t>
      </w:r>
    </w:p>
    <w:p>
      <w:pPr>
        <w:pStyle w:val="0"/>
        <w:widowControl w:val="off"/>
        <w:pBdr>
          <w:top w:val="none" w:color="000000" w:sz="2" w:space="1"/>
          <w:left w:val="none" w:color="000000" w:sz="2" w:space="4"/>
          <w:bottom w:val="none" w:color="000000" w:sz="2" w:space="1"/>
          <w:right w:val="none" w:color="000000" w:sz="2" w:space="4"/>
        </w:pBdr>
        <w:ind w:firstLine="240"/>
      </w:pPr>
      <w:r>
        <w:rPr>
          <w:rFonts w:ascii="Calibri"/>
        </w:rPr>
        <w:t>Step 3: This involved cross-validation and data cleaning, where redundant entries were eliminated and the accuracy of the recorded measurement values was verified.</w:t>
      </w:r>
    </w:p>
    <w:p>
      <w:pPr>
        <w:pStyle w:val="0"/>
        <w:widowControl w:val="off"/>
        <w:pBdr>
          <w:top w:val="none" w:color="000000" w:sz="2" w:space="1"/>
          <w:left w:val="none" w:color="000000" w:sz="2" w:space="4"/>
          <w:bottom w:val="none" w:color="000000" w:sz="2" w:space="1"/>
          <w:right w:val="none" w:color="000000" w:sz="2" w:space="4"/>
        </w:pBdr>
        <w:ind w:firstLine="240"/>
      </w:pPr>
      <w:r>
        <w:rPr>
          <w:rFonts w:ascii="Calibri"/>
        </w:rPr>
        <w:t>Step 4: Unique identification codes were assigned to each dating result. Where possible, precise spatial coordinates and archaeological contexts for each sample were documented.</w:t>
      </w:r>
    </w:p>
    <w:p>
      <w:pPr>
        <w:pStyle w:val="0"/>
        <w:widowControl w:val="off"/>
        <w:pBdr>
          <w:top w:val="none" w:color="000000" w:sz="2" w:space="1"/>
          <w:left w:val="none" w:color="000000" w:sz="2" w:space="4"/>
          <w:bottom w:val="none" w:color="000000" w:sz="2" w:space="1"/>
          <w:right w:val="none" w:color="000000" w:sz="2" w:space="4"/>
        </w:pBdr>
        <w:rPr>
          <w:rFonts w:ascii="Calibri"/>
          <w:color w:val="000000"/>
        </w:rPr>
      </w:pPr>
    </w:p>
    <w:p>
      <w:pPr>
        <w:pStyle w:val="0"/>
        <w:widowControl w:val="off"/>
        <w:pBdr>
          <w:top w:val="none" w:color="000000" w:sz="2" w:space="1"/>
          <w:left w:val="none" w:color="000000" w:sz="2" w:space="4"/>
          <w:bottom w:val="none" w:color="000000" w:sz="2" w:space="1"/>
          <w:right w:val="none" w:color="000000" w:sz="2" w:space="4"/>
        </w:pBdr>
      </w:pPr>
      <w:r>
        <w:rPr>
          <w:rFonts w:ascii="Calibri"/>
          <w:b/>
          <w:i/>
        </w:rPr>
        <w:t>Quality Control</w:t>
      </w:r>
    </w:p>
    <w:p>
      <w:pPr>
        <w:pStyle w:val="0"/>
        <w:widowControl w:val="off"/>
        <w:pBdr>
          <w:top w:val="none" w:color="000000" w:sz="2" w:space="1"/>
          <w:left w:val="none" w:color="000000" w:sz="2" w:space="4"/>
          <w:bottom w:val="none" w:color="000000" w:sz="2" w:space="1"/>
          <w:right w:val="none" w:color="000000" w:sz="2" w:space="4"/>
        </w:pBdr>
      </w:pPr>
      <w:r>
        <w:rPr>
          <w:rFonts w:ascii="Calibri"/>
        </w:rPr>
        <w:t>All radiocarbon dates underwent duplicate checks and a standardization process. For specific sites such as Pungnaptoseong, Mongchontoseong, and the Seokchon-dong ancient tomb complex, numerous cases existed where different sub-lot numbers or names were assigned within the same site, as multiple research institutions conducted excavations over an extended period. To prevent such confusion, unique identification numbers were assigned to each data entry. In instances where multiple measurements were performed on a single sample (e.g., wiggle-matching analysis), each measurement was recorded as a separate entry. Furthermore, where possible, the approximate locations of the sample collection points were also compiled.</w:t>
      </w:r>
    </w:p>
    <w:p>
      <w:pPr>
        <w:pStyle w:val="0"/>
        <w:widowControl w:val="off"/>
        <w:pBdr>
          <w:top w:val="none" w:color="000000" w:sz="2" w:space="1"/>
          <w:left w:val="none" w:color="000000" w:sz="2" w:space="4"/>
          <w:bottom w:val="none" w:color="000000" w:sz="2" w:space="1"/>
          <w:right w:val="none" w:color="000000" w:sz="2" w:space="4"/>
        </w:pBdr>
        <w:rPr>
          <w:rFonts w:ascii="Calibri"/>
          <w:color w:val="000000"/>
        </w:rPr>
      </w:pPr>
    </w:p>
    <w:p>
      <w:pPr>
        <w:pStyle w:val="0"/>
        <w:widowControl w:val="off"/>
        <w:pBdr>
          <w:top w:val="none" w:color="000000" w:sz="2" w:space="1"/>
          <w:left w:val="none" w:color="000000" w:sz="2" w:space="4"/>
          <w:bottom w:val="none" w:color="000000" w:sz="2" w:space="1"/>
          <w:right w:val="none" w:color="000000" w:sz="2" w:space="4"/>
        </w:pBdr>
        <w:rPr>
          <w:rFonts w:ascii="Calibri"/>
          <w:color w:val="000000"/>
        </w:rPr>
      </w:pPr>
    </w:p>
    <w:p>
      <w:pPr>
        <w:pStyle w:val="0"/>
        <w:widowControl w:val="off"/>
        <w:pBdr>
          <w:top w:val="none" w:color="000000" w:sz="2" w:space="1"/>
          <w:left w:val="none" w:color="000000" w:sz="2" w:space="4"/>
          <w:bottom w:val="none" w:color="000000" w:sz="2" w:space="1"/>
          <w:right w:val="none" w:color="000000" w:sz="2" w:space="4"/>
        </w:pBdr>
      </w:pPr>
      <w:r>
        <w:rPr>
          <w:rFonts w:ascii="Calibri"/>
          <w:b/>
          <w:sz w:val="26"/>
        </w:rPr>
        <w:t>(3) Dataset description</w:t>
      </w:r>
    </w:p>
    <w:p>
      <w:pPr>
        <w:pStyle w:val="8"/>
        <w:widowControl w:val="off"/>
        <w:pBdr>
          <w:top w:val="none" w:color="000000" w:sz="2" w:space="1"/>
          <w:left w:val="none" w:color="000000" w:sz="2" w:space="4"/>
          <w:bottom w:val="none" w:color="000000" w:sz="2" w:space="1"/>
          <w:right w:val="none" w:color="000000" w:sz="2" w:space="4"/>
        </w:pBdr>
        <w:rPr>
          <w:rFonts w:ascii="Calibri"/>
          <w:color w:val="000000"/>
        </w:rPr>
      </w:pPr>
    </w:p>
    <w:p>
      <w:pPr>
        <w:pStyle w:val="0"/>
        <w:widowControl w:val="off"/>
        <w:pBdr>
          <w:top w:val="none" w:color="000000" w:sz="2" w:space="1"/>
          <w:left w:val="none" w:color="000000" w:sz="2" w:space="4"/>
          <w:bottom w:val="none" w:color="000000" w:sz="2" w:space="1"/>
          <w:right w:val="none" w:color="000000" w:sz="2" w:space="4"/>
        </w:pBdr>
      </w:pPr>
      <w:r>
        <w:rPr>
          <w:rFonts w:ascii="Calibri"/>
        </w:rPr>
        <w:t>This dataset is provided in .csv and .xlsx formats. The data are structured according to the columns listed in Table 1. In cases where data is unavailable, the respective fields have been left blank.</w:t>
      </w:r>
    </w:p>
    <w:p>
      <w:pPr>
        <w:pStyle w:val="8"/>
        <w:widowControl w:val="off"/>
        <w:pBdr>
          <w:top w:val="none" w:color="000000" w:sz="2" w:space="1"/>
          <w:left w:val="none" w:color="000000" w:sz="2" w:space="4"/>
          <w:bottom w:val="none" w:color="000000" w:sz="2" w:space="1"/>
          <w:right w:val="none" w:color="000000" w:sz="2" w:space="4"/>
        </w:pBdr>
        <w:rPr>
          <w:rFonts w:ascii="Calibri"/>
          <w:color w:val="000000"/>
        </w:rPr>
      </w:pPr>
    </w:p>
    <w:p>
      <w:pPr>
        <w:pStyle w:val="13"/>
        <w:keepNext/>
        <w:widowControl w:val="off"/>
        <w:pBdr>
          <w:top w:val="none" w:color="000000" w:sz="2" w:space="1"/>
          <w:left w:val="none" w:color="000000" w:sz="2" w:space="4"/>
          <w:bottom w:val="none" w:color="000000" w:sz="2" w:space="1"/>
          <w:right w:val="none" w:color="000000" w:sz="2" w:space="4"/>
        </w:pBdr>
      </w:pPr>
      <w:r>
        <w:rPr/>
        <w:t>Table 1 List of data columns included in the database.</w:t>
      </w:r>
    </w:p>
    <w:tbl>
      <w:tblPr>
        <w:tblOverlap w:val="never"/>
        <w:tblW w:w="8295" w:type="dxa"/>
        <w:tblBorders>
          <w:top w:val="single" w:color="0a0000" w:sz="3"/>
          <w:left w:val="single" w:color="0a0000" w:sz="3"/>
          <w:bottom w:val="single" w:color="0a0000" w:sz="3"/>
          <w:right w:val="single" w:color="0a0000" w:sz="3"/>
        </w:tblBorders>
        <w:shd w:val="clear" w:color="000000" w:fill="ffffff"/>
        <w:tblLayout w:type="fixed"/>
        <w:tblCellMar>
          <w:top w:w="28" w:type="dxa"/>
          <w:left w:w="102" w:type="dxa"/>
          <w:bottom w:w="28" w:type="dxa"/>
          <w:right w:w="102" w:type="dxa"/>
        </w:tblCellMar>
      </w:tblPr>
      <w:tblGrid>
        <w:gridCol w:w="1555"/>
        <w:gridCol w:w="6740"/>
      </w:tblGrid>
      <w:tr>
        <w:trPr>
          <w:trHeight w:val="56"/>
        </w:trPr>
        <w:tc>
          <w:tcPr>
            <w:tcW w:w="1555"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sz w:val="20"/>
              </w:rPr>
              <w:t>FIELD</w:t>
            </w:r>
          </w:p>
        </w:tc>
        <w:tc>
          <w:tcPr>
            <w:tcW w:w="6740"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sz w:val="20"/>
              </w:rPr>
              <w:t>DESCRIPTION</w:t>
            </w:r>
          </w:p>
        </w:tc>
      </w:tr>
      <w:tr>
        <w:trPr>
          <w:trHeight w:val="56"/>
        </w:trPr>
        <w:tc>
          <w:tcPr>
            <w:tcW w:w="1555"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Latitude</w:t>
            </w:r>
          </w:p>
        </w:tc>
        <w:tc>
          <w:tcPr>
            <w:tcW w:w="6740"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The latitude of the sample collection point. Where specified in the reports, the recorded values were adopted; otherwise, coordinates were inferred by georeferencing site layout maps within ArcGIS.</w:t>
            </w:r>
          </w:p>
        </w:tc>
      </w:tr>
      <w:tr>
        <w:trPr>
          <w:trHeight w:val="345"/>
        </w:trPr>
        <w:tc>
          <w:tcPr>
            <w:tcW w:w="1555"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Longitude</w:t>
            </w:r>
          </w:p>
        </w:tc>
        <w:tc>
          <w:tcPr>
            <w:tcW w:w="6740"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The longitude of the sample collection point. Where specified in the reports, the recorded values were adopted; otherwise, coordinates were inferred by georeferencing site layout maps within ArcGIS.</w:t>
            </w:r>
          </w:p>
        </w:tc>
      </w:tr>
      <w:tr>
        <w:trPr>
          <w:trHeight w:val="577"/>
        </w:trPr>
        <w:tc>
          <w:tcPr>
            <w:tcW w:w="1555"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Code</w:t>
            </w:r>
          </w:p>
        </w:tc>
        <w:tc>
          <w:tcPr>
            <w:tcW w:w="6740" w:type="dxa"/>
            <w:tcBorders>
              <w:top w:val="single" w:color="0a0000" w:sz="3"/>
              <w:left w:val="single" w:color="0a0000" w:sz="3"/>
              <w:bottom w:val="single" w:color="0a0000" w:sz="3"/>
              <w:right w:val="single" w:color="0a0000" w:sz="3"/>
            </w:tcBorders>
            <w:vAlign w:val="top"/>
          </w:tcPr>
          <w:p>
            <w:pPr>
              <w:pStyle w:val="21"/>
              <w:widowControl w:val="off"/>
              <w:pBdr>
                <w:top w:val="none" w:color="000000" w:sz="2" w:space="1"/>
                <w:left w:val="none" w:color="000000" w:sz="2" w:space="4"/>
                <w:bottom w:val="none" w:color="000000" w:sz="2" w:space="1"/>
                <w:right w:val="none" w:color="000000" w:sz="2" w:space="4"/>
              </w:pBdr>
              <w:wordWrap w:val="1"/>
              <w:snapToGrid w:val="off"/>
              <w:spacing w:line="240" w:lineRule="auto"/>
              <w:jc w:val="left"/>
            </w:pPr>
            <w:r>
              <w:rPr>
                <w:rFonts w:ascii="Calibri"/>
              </w:rPr>
              <w:t>The Unique number of newly assigned analysis sample</w:t>
            </w:r>
          </w:p>
        </w:tc>
      </w:tr>
      <w:tr>
        <w:trPr>
          <w:trHeight w:val="56"/>
        </w:trPr>
        <w:tc>
          <w:tcPr>
            <w:tcW w:w="1555"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Site Name</w:t>
            </w:r>
          </w:p>
        </w:tc>
        <w:tc>
          <w:tcPr>
            <w:tcW w:w="6740"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The name of the archaeological site where the sample was collected. In cases where excavations were conducted across multiple distinct areas within a single site, the specific names of the area is also included.</w:t>
            </w:r>
          </w:p>
        </w:tc>
      </w:tr>
      <w:tr>
        <w:trPr>
          <w:trHeight w:val="56"/>
        </w:trPr>
        <w:tc>
          <w:tcPr>
            <w:tcW w:w="1555"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Site ID</w:t>
            </w:r>
          </w:p>
        </w:tc>
        <w:tc>
          <w:tcPr>
            <w:tcW w:w="6740"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The specific name of the archaeological feature from which the sample was collected.</w:t>
            </w:r>
          </w:p>
        </w:tc>
      </w:tr>
      <w:tr>
        <w:trPr>
          <w:trHeight w:val="56"/>
        </w:trPr>
        <w:tc>
          <w:tcPr>
            <w:tcW w:w="1555"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Context</w:t>
            </w:r>
          </w:p>
        </w:tc>
        <w:tc>
          <w:tcPr>
            <w:tcW w:w="6740"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The archaeological context of the sample, detailing the stratigraphic and functional relationship between the sample and its associated feature or layer.</w:t>
            </w:r>
          </w:p>
        </w:tc>
      </w:tr>
      <w:tr>
        <w:trPr>
          <w:trHeight w:val="56"/>
        </w:trPr>
        <w:tc>
          <w:tcPr>
            <w:tcW w:w="1555"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Site Type</w:t>
            </w:r>
          </w:p>
        </w:tc>
        <w:tc>
          <w:tcPr>
            <w:tcW w:w="6740"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The classification of the archaeological feature from which the sample was retrieved (e.g., dwelling, pit, rampart, or tomb).</w:t>
            </w:r>
          </w:p>
        </w:tc>
      </w:tr>
      <w:tr>
        <w:trPr>
          <w:trHeight w:val="56"/>
        </w:trPr>
        <w:tc>
          <w:tcPr>
            <w:tcW w:w="1555"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Sample ID</w:t>
            </w:r>
          </w:p>
        </w:tc>
        <w:tc>
          <w:tcPr>
            <w:tcW w:w="6740"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The identification number or designation assigned to the sample as recorded in the original archaeological excavation report.</w:t>
            </w:r>
          </w:p>
        </w:tc>
      </w:tr>
      <w:tr>
        <w:trPr>
          <w:trHeight w:val="56"/>
        </w:trPr>
        <w:tc>
          <w:tcPr>
            <w:tcW w:w="1555"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Lab</w:t>
            </w:r>
          </w:p>
        </w:tc>
        <w:tc>
          <w:tcPr>
            <w:tcW w:w="6740"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The name of the institution or laboratory where the radiocarbon dating analysis was performed.</w:t>
            </w:r>
          </w:p>
        </w:tc>
      </w:tr>
      <w:tr>
        <w:trPr>
          <w:trHeight w:val="56"/>
        </w:trPr>
        <w:tc>
          <w:tcPr>
            <w:tcW w:w="1555"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Lab ID</w:t>
            </w:r>
          </w:p>
        </w:tc>
        <w:tc>
          <w:tcPr>
            <w:tcW w:w="6740"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The unique identification name or code assigned to the sample by the laboratory that performed the radiocarbon dating analysis.</w:t>
            </w:r>
          </w:p>
        </w:tc>
      </w:tr>
      <w:tr>
        <w:trPr>
          <w:trHeight w:val="56"/>
        </w:trPr>
        <w:tc>
          <w:tcPr>
            <w:tcW w:w="1555"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Material</w:t>
            </w:r>
          </w:p>
        </w:tc>
        <w:tc>
          <w:tcPr>
            <w:tcW w:w="6740"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The physical substance or material composition of the sample selected for radiocarbon dating analysis (e.g., charcoal, wood, charred seeds, or bone).</w:t>
            </w:r>
          </w:p>
        </w:tc>
      </w:tr>
      <w:tr>
        <w:trPr>
          <w:trHeight w:val="56"/>
        </w:trPr>
        <w:tc>
          <w:tcPr>
            <w:tcW w:w="1555"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BP</w:t>
            </w:r>
          </w:p>
        </w:tc>
        <w:tc>
          <w:tcPr>
            <w:tcW w:w="6740"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The measured radiocarbon age of the sample, expressed in years Before Present (BP) prior to any atmospheric calibration.</w:t>
            </w:r>
          </w:p>
        </w:tc>
      </w:tr>
      <w:tr>
        <w:trPr>
          <w:trHeight w:val="56"/>
        </w:trPr>
        <w:tc>
          <w:tcPr>
            <w:tcW w:w="1555"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Error</w:t>
            </w:r>
          </w:p>
        </w:tc>
        <w:tc>
          <w:tcPr>
            <w:tcW w:w="6740"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The measurement uncertainty or standard deviation associated with the uncalibrated radiocarbon age, as reported by the laboratory.</w:t>
            </w:r>
          </w:p>
        </w:tc>
      </w:tr>
      <w:tr>
        <w:trPr>
          <w:trHeight w:val="56"/>
        </w:trPr>
        <w:tc>
          <w:tcPr>
            <w:tcW w:w="1555"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Rerferences</w:t>
            </w:r>
          </w:p>
        </w:tc>
        <w:tc>
          <w:tcPr>
            <w:tcW w:w="6740" w:type="dxa"/>
            <w:tcBorders>
              <w:top w:val="single" w:color="0a0000" w:sz="3"/>
              <w:left w:val="single" w:color="0a0000" w:sz="3"/>
              <w:bottom w:val="single" w:color="0a0000" w:sz="3"/>
              <w:right w:val="single" w:color="0a0000" w:sz="3"/>
            </w:tcBorders>
            <w:vAlign w:val="top"/>
          </w:tcPr>
          <w:p>
            <w:pPr>
              <w:pStyle w:val="8"/>
              <w:widowControl w:val="off"/>
              <w:pBdr>
                <w:top w:val="none" w:color="000000" w:sz="2" w:space="1"/>
                <w:left w:val="none" w:color="000000" w:sz="2" w:space="4"/>
                <w:bottom w:val="none" w:color="000000" w:sz="2" w:space="1"/>
                <w:right w:val="none" w:color="000000" w:sz="2" w:space="4"/>
              </w:pBdr>
              <w:snapToGrid w:val="off"/>
            </w:pPr>
            <w:r>
              <w:rPr>
                <w:rFonts w:ascii="Calibri"/>
                <w:b w:val="0"/>
                <w:sz w:val="20"/>
              </w:rPr>
              <w:t>A citation of the source from which the data has beendrawn</w:t>
            </w:r>
          </w:p>
        </w:tc>
      </w:tr>
    </w:tbl>
    <w:p>
      <w:pPr>
        <w:pStyle w:val="8"/>
        <w:widowControl w:val="off"/>
        <w:pBdr>
          <w:top w:val="none" w:color="000000" w:sz="2" w:space="1"/>
          <w:left w:val="none" w:color="000000" w:sz="2" w:space="4"/>
          <w:bottom w:val="none" w:color="000000" w:sz="2" w:space="1"/>
          <w:right w:val="none" w:color="000000" w:sz="2" w:space="4"/>
        </w:pBdr>
      </w:pPr>
    </w:p>
    <w:p>
      <w:pPr>
        <w:pStyle w:val="0"/>
        <w:widowControl w:val="off"/>
        <w:pBdr>
          <w:top w:val="none" w:color="000000" w:sz="2" w:space="1"/>
          <w:left w:val="none" w:color="000000" w:sz="2" w:space="4"/>
          <w:bottom w:val="none" w:color="000000" w:sz="2" w:space="1"/>
          <w:right w:val="none" w:color="000000" w:sz="2" w:space="4"/>
        </w:pBdr>
      </w:pPr>
      <w:r>
        <w:rPr>
          <w:rFonts w:ascii="Calibri"/>
          <w:b/>
          <w:i/>
        </w:rPr>
        <w:t>Object name</w:t>
      </w:r>
    </w:p>
    <w:p>
      <w:pPr>
        <w:pStyle w:val="0"/>
        <w:widowControl w:val="off"/>
        <w:pBdr>
          <w:top w:val="none" w:color="000000" w:sz="2" w:space="1"/>
          <w:left w:val="none" w:color="000000" w:sz="2" w:space="4"/>
          <w:bottom w:val="none" w:color="000000" w:sz="2" w:space="1"/>
          <w:right w:val="none" w:color="000000" w:sz="2" w:space="4"/>
        </w:pBdr>
        <w:rPr>
          <w:rFonts w:ascii="Calibri"/>
          <w:color w:val="000000"/>
        </w:rPr>
      </w:pPr>
    </w:p>
    <w:p>
      <w:pPr>
        <w:pStyle w:val="0"/>
        <w:widowControl w:val="off"/>
      </w:pPr>
      <w:r>
        <w:rPr/>
        <w:t xml:space="preserve">Data/ </w:t>
      </w:r>
      <w:r>
        <w:rPr/>
        <w:t>–</w:t>
      </w:r>
      <w:r>
        <w:rPr/>
        <w:t xml:space="preserve"> compilation files</w:t>
      </w:r>
    </w:p>
    <w:p>
      <w:pPr>
        <w:pStyle w:val="0"/>
        <w:widowControl w:val="off"/>
      </w:pPr>
      <w:r>
        <w:rPr/>
        <w:t>┣</w:t>
      </w:r>
      <w:r>
        <w:rPr/>
        <w:t xml:space="preserve"> AMS_Master_en.csv</w:t>
      </w:r>
    </w:p>
    <w:p>
      <w:pPr>
        <w:pStyle w:val="0"/>
        <w:widowControl w:val="off"/>
      </w:pPr>
      <w:r>
        <w:rPr/>
        <w:t>┣</w:t>
      </w:r>
      <w:r>
        <w:rPr/>
        <w:t xml:space="preserve"> AMS_Master_en.xlsx</w:t>
      </w:r>
    </w:p>
    <w:p>
      <w:pPr>
        <w:pStyle w:val="0"/>
        <w:widowControl w:val="off"/>
      </w:pPr>
      <w:r>
        <w:rPr/>
        <w:t>┣</w:t>
      </w:r>
      <w:r>
        <w:rPr/>
        <w:t xml:space="preserve"> AMS_Master_ko.csv</w:t>
      </w:r>
    </w:p>
    <w:p>
      <w:pPr>
        <w:pStyle w:val="0"/>
        <w:widowControl w:val="off"/>
      </w:pPr>
      <w:r>
        <w:rPr/>
        <w:t>┗</w:t>
      </w:r>
      <w:r>
        <w:rPr/>
        <w:t xml:space="preserve"> AMS_Master_ko.xlsx</w:t>
      </w:r>
    </w:p>
    <w:p>
      <w:pPr>
        <w:pStyle w:val="0"/>
        <w:widowControl w:val="off"/>
        <w:rPr/>
      </w:pPr>
    </w:p>
    <w:p>
      <w:pPr>
        <w:pStyle w:val="0"/>
        <w:widowControl w:val="off"/>
      </w:pPr>
      <w:r>
        <w:rPr/>
        <w:t xml:space="preserve">Graph/ </w:t>
      </w:r>
      <w:r>
        <w:rPr/>
        <w:t>–</w:t>
      </w:r>
      <w:r>
        <w:rPr/>
        <w:t xml:space="preserve"> c</w:t>
      </w:r>
      <w:r>
        <w:rPr/>
        <w:t>alculated analysis graph</w:t>
      </w:r>
      <w:r>
        <w:br/>
        <w:rPr/>
        <w:t>┣</w:t>
      </w:r>
      <w:r>
        <w:rPr/>
        <w:t xml:space="preserve"> SPD(All).tiff</w:t>
      </w:r>
      <w:r>
        <w:br/>
        <w:rPr/>
        <w:t>┣</w:t>
      </w:r>
      <w:r>
        <w:rPr/>
        <w:t xml:space="preserve"> SPD(Hanseong Region).tiff</w:t>
      </w:r>
      <w:r>
        <w:br/>
        <w:rPr/>
        <w:t>┣</w:t>
      </w:r>
      <w:r>
        <w:rPr/>
        <w:t xml:space="preserve"> SPD(Mongchontoseong).tiff</w:t>
      </w:r>
      <w:r>
        <w:br/>
        <w:rPr/>
        <w:t>┣</w:t>
      </w:r>
      <w:r>
        <w:rPr/>
        <w:t xml:space="preserve"> SPD(Outside of PNTS&amp;MCTS).tiff</w:t>
      </w:r>
      <w:r>
        <w:br/>
        <w:rPr/>
        <w:t>┣</w:t>
      </w:r>
      <w:r>
        <w:rPr/>
        <w:t xml:space="preserve"> SPD(Pnugnaptoseong).tiff</w:t>
      </w:r>
      <w:r>
        <w:br/>
        <w:rPr/>
        <w:t>┗</w:t>
      </w:r>
      <w:r>
        <w:rPr/>
        <w:t xml:space="preserve"> SPD(Tombs).tiff</w:t>
      </w:r>
    </w:p>
    <w:p>
      <w:pPr>
        <w:pStyle w:val="0"/>
        <w:widowControl w:val="off"/>
        <w:rPr/>
      </w:pPr>
    </w:p>
    <w:p>
      <w:pPr>
        <w:pStyle w:val="0"/>
        <w:widowControl w:val="off"/>
      </w:pPr>
      <w:r>
        <w:rPr/>
        <w:t>Script/</w:t>
      </w:r>
    </w:p>
    <w:p>
      <w:pPr>
        <w:pStyle w:val="0"/>
        <w:widowControl w:val="off"/>
      </w:pPr>
      <w:r>
        <w:rPr/>
        <w:t>┗</w:t>
      </w:r>
      <w:r>
        <w:rPr/>
        <w:t xml:space="preserve"> SPD.r</w:t>
      </w:r>
    </w:p>
    <w:p>
      <w:pPr>
        <w:pStyle w:val="0"/>
        <w:widowControl w:val="off"/>
        <w:rPr/>
      </w:pPr>
    </w:p>
    <w:p>
      <w:pPr>
        <w:pStyle w:val="0"/>
        <w:widowControl w:val="off"/>
        <w:pBdr>
          <w:top w:val="none" w:color="000000" w:sz="2" w:space="1"/>
          <w:left w:val="none" w:color="000000" w:sz="2" w:space="4"/>
          <w:bottom w:val="none" w:color="000000" w:sz="2" w:space="1"/>
          <w:right w:val="none" w:color="000000" w:sz="2" w:space="4"/>
        </w:pBdr>
      </w:pPr>
      <w:r>
        <w:rPr>
          <w:rFonts w:ascii="Calibri"/>
        </w:rPr>
        <w:t>README.md</w:t>
      </w:r>
    </w:p>
    <w:p>
      <w:pPr>
        <w:pStyle w:val="0"/>
        <w:widowControl w:val="off"/>
        <w:pBdr>
          <w:top w:val="none" w:color="000000" w:sz="2" w:space="1"/>
          <w:left w:val="none" w:color="000000" w:sz="2" w:space="4"/>
          <w:bottom w:val="none" w:color="000000" w:sz="2" w:space="1"/>
          <w:right w:val="none" w:color="000000" w:sz="2" w:space="4"/>
        </w:pBdr>
        <w:rPr>
          <w:rFonts w:ascii="Calibri"/>
          <w:color w:val="000000"/>
        </w:rPr>
      </w:pPr>
    </w:p>
    <w:p>
      <w:pPr>
        <w:pStyle w:val="0"/>
        <w:widowControl w:val="off"/>
        <w:pBdr>
          <w:top w:val="none" w:color="000000" w:sz="2" w:space="1"/>
          <w:left w:val="none" w:color="000000" w:sz="2" w:space="4"/>
          <w:bottom w:val="none" w:color="000000" w:sz="2" w:space="1"/>
          <w:right w:val="none" w:color="000000" w:sz="2" w:space="4"/>
        </w:pBdr>
      </w:pPr>
      <w:r>
        <w:rPr>
          <w:rFonts w:ascii="Calibri"/>
          <w:b/>
          <w:i/>
        </w:rPr>
        <w:t>Data type</w:t>
      </w:r>
    </w:p>
    <w:p>
      <w:pPr>
        <w:pStyle w:val="0"/>
        <w:widowControl w:val="off"/>
        <w:pBdr>
          <w:top w:val="none" w:color="000000" w:sz="2" w:space="1"/>
          <w:left w:val="none" w:color="000000" w:sz="2" w:space="4"/>
          <w:bottom w:val="none" w:color="000000" w:sz="2" w:space="1"/>
          <w:right w:val="none" w:color="000000" w:sz="2" w:space="4"/>
        </w:pBdr>
      </w:pPr>
      <w:r>
        <w:rPr>
          <w:rFonts w:ascii="Calibri"/>
        </w:rPr>
        <w:t>Secondary data and processed data</w:t>
      </w:r>
    </w:p>
    <w:p>
      <w:pPr>
        <w:pStyle w:val="0"/>
        <w:widowControl w:val="off"/>
        <w:pBdr>
          <w:top w:val="none" w:color="000000" w:sz="2" w:space="1"/>
          <w:left w:val="none" w:color="000000" w:sz="2" w:space="4"/>
          <w:bottom w:val="none" w:color="000000" w:sz="2" w:space="1"/>
          <w:right w:val="none" w:color="000000" w:sz="2" w:space="4"/>
        </w:pBdr>
        <w:rPr>
          <w:rFonts w:ascii="Calibri"/>
          <w:b/>
          <w:color w:val="000000"/>
        </w:rPr>
      </w:pPr>
    </w:p>
    <w:p>
      <w:pPr>
        <w:pStyle w:val="0"/>
        <w:widowControl w:val="off"/>
        <w:pBdr>
          <w:top w:val="none" w:color="000000" w:sz="2" w:space="1"/>
          <w:left w:val="none" w:color="000000" w:sz="2" w:space="4"/>
          <w:bottom w:val="none" w:color="000000" w:sz="2" w:space="1"/>
          <w:right w:val="none" w:color="000000" w:sz="2" w:space="4"/>
        </w:pBdr>
      </w:pPr>
      <w:r>
        <w:rPr>
          <w:rFonts w:ascii="Calibri"/>
          <w:b/>
          <w:i/>
        </w:rPr>
        <w:t>Format names and versions</w:t>
      </w:r>
    </w:p>
    <w:p>
      <w:pPr>
        <w:pStyle w:val="0"/>
        <w:widowControl w:val="off"/>
        <w:pBdr>
          <w:top w:val="none" w:color="000000" w:sz="2" w:space="1"/>
          <w:left w:val="none" w:color="000000" w:sz="2" w:space="4"/>
          <w:bottom w:val="none" w:color="000000" w:sz="2" w:space="1"/>
          <w:right w:val="none" w:color="000000" w:sz="2" w:space="4"/>
        </w:pBdr>
      </w:pPr>
      <w:r>
        <w:rPr>
          <w:rFonts w:ascii="Calibri"/>
        </w:rPr>
        <w:t>*.csv, *.xlsx, *.r, *.tiff</w:t>
      </w:r>
    </w:p>
    <w:p>
      <w:pPr>
        <w:pStyle w:val="0"/>
        <w:widowControl w:val="off"/>
        <w:pBdr>
          <w:top w:val="none" w:color="000000" w:sz="2" w:space="1"/>
          <w:left w:val="none" w:color="000000" w:sz="2" w:space="4"/>
          <w:bottom w:val="none" w:color="000000" w:sz="2" w:space="1"/>
          <w:right w:val="none" w:color="000000" w:sz="2" w:space="4"/>
        </w:pBdr>
        <w:rPr>
          <w:rFonts w:ascii="Calibri"/>
          <w:color w:val="000000"/>
        </w:rPr>
      </w:pPr>
    </w:p>
    <w:p>
      <w:pPr>
        <w:pStyle w:val="0"/>
        <w:widowControl w:val="off"/>
        <w:pBdr>
          <w:top w:val="none" w:color="000000" w:sz="2" w:space="1"/>
          <w:left w:val="none" w:color="000000" w:sz="2" w:space="4"/>
          <w:bottom w:val="none" w:color="000000" w:sz="2" w:space="1"/>
          <w:right w:val="none" w:color="000000" w:sz="2" w:space="4"/>
        </w:pBdr>
      </w:pPr>
      <w:r>
        <w:rPr>
          <w:rFonts w:ascii="Calibri"/>
          <w:b/>
          <w:i/>
        </w:rPr>
        <w:t>Creation dates</w:t>
      </w:r>
    </w:p>
    <w:p>
      <w:pPr>
        <w:pStyle w:val="0"/>
        <w:widowControl w:val="off"/>
        <w:pBdr>
          <w:top w:val="none" w:color="000000" w:sz="2" w:space="1"/>
          <w:left w:val="none" w:color="000000" w:sz="2" w:space="4"/>
          <w:bottom w:val="none" w:color="000000" w:sz="2" w:space="1"/>
          <w:right w:val="none" w:color="000000" w:sz="2" w:space="4"/>
        </w:pBdr>
      </w:pPr>
      <w:r>
        <w:rPr>
          <w:rFonts w:ascii="Calibri"/>
        </w:rPr>
        <w:t xml:space="preserve">01/09/2025 </w:t>
      </w:r>
      <w:r>
        <w:rPr>
          <w:rFonts w:ascii="Calibri"/>
        </w:rPr>
        <w:t>–</w:t>
      </w:r>
      <w:r>
        <w:rPr>
          <w:rFonts w:ascii="Calibri"/>
        </w:rPr>
        <w:t xml:space="preserve"> 02/01/2026</w:t>
      </w:r>
    </w:p>
    <w:p>
      <w:pPr>
        <w:pStyle w:val="0"/>
        <w:widowControl w:val="off"/>
        <w:pBdr>
          <w:top w:val="none" w:color="000000" w:sz="2" w:space="1"/>
          <w:left w:val="none" w:color="000000" w:sz="2" w:space="4"/>
          <w:bottom w:val="none" w:color="000000" w:sz="2" w:space="1"/>
          <w:right w:val="none" w:color="000000" w:sz="2" w:space="4"/>
        </w:pBdr>
        <w:rPr>
          <w:rFonts w:ascii="Calibri"/>
          <w:color w:val="000000"/>
        </w:rPr>
      </w:pPr>
    </w:p>
    <w:p>
      <w:pPr>
        <w:pStyle w:val="8"/>
        <w:widowControl w:val="off"/>
        <w:pBdr>
          <w:top w:val="none" w:color="000000" w:sz="2" w:space="1"/>
          <w:left w:val="none" w:color="000000" w:sz="2" w:space="4"/>
          <w:bottom w:val="none" w:color="000000" w:sz="2" w:space="1"/>
          <w:right w:val="none" w:color="000000" w:sz="2" w:space="4"/>
        </w:pBdr>
      </w:pPr>
      <w:r>
        <w:rPr>
          <w:rFonts w:ascii="Calibri"/>
          <w:i/>
          <w:sz w:val="24"/>
        </w:rPr>
        <w:t>Dataset Creators</w:t>
      </w:r>
    </w:p>
    <w:p>
      <w:pPr>
        <w:pStyle w:val="0"/>
        <w:widowControl w:val="off"/>
        <w:pBdr>
          <w:top w:val="none" w:color="000000" w:sz="2" w:space="1"/>
          <w:left w:val="none" w:color="000000" w:sz="2" w:space="4"/>
          <w:bottom w:val="none" w:color="000000" w:sz="2" w:space="1"/>
          <w:right w:val="none" w:color="000000" w:sz="2" w:space="4"/>
        </w:pBdr>
      </w:pPr>
      <w:r>
        <w:rPr>
          <w:rFonts w:ascii="Calibri"/>
        </w:rPr>
        <w:t>Ju Chanhyeok, Park Hyeonghoo</w:t>
      </w:r>
    </w:p>
    <w:p>
      <w:pPr>
        <w:pStyle w:val="0"/>
        <w:widowControl w:val="off"/>
        <w:pBdr>
          <w:top w:val="none" w:color="000000" w:sz="2" w:space="1"/>
          <w:left w:val="none" w:color="000000" w:sz="2" w:space="4"/>
          <w:bottom w:val="none" w:color="000000" w:sz="2" w:space="1"/>
          <w:right w:val="none" w:color="000000" w:sz="2" w:space="4"/>
        </w:pBdr>
        <w:rPr>
          <w:rFonts w:ascii="Calibri"/>
          <w:color w:val="000000"/>
        </w:rPr>
      </w:pPr>
    </w:p>
    <w:p>
      <w:pPr>
        <w:pStyle w:val="0"/>
        <w:widowControl w:val="off"/>
        <w:pBdr>
          <w:top w:val="none" w:color="000000" w:sz="2" w:space="1"/>
          <w:left w:val="none" w:color="000000" w:sz="2" w:space="4"/>
          <w:bottom w:val="none" w:color="000000" w:sz="2" w:space="1"/>
          <w:right w:val="none" w:color="000000" w:sz="2" w:space="4"/>
        </w:pBdr>
      </w:pPr>
      <w:r>
        <w:rPr>
          <w:rFonts w:ascii="Calibri"/>
          <w:b/>
          <w:i/>
        </w:rPr>
        <w:t>Language</w:t>
      </w:r>
    </w:p>
    <w:p>
      <w:pPr>
        <w:pStyle w:val="0"/>
        <w:widowControl w:val="off"/>
        <w:pBdr>
          <w:top w:val="none" w:color="000000" w:sz="2" w:space="1"/>
          <w:left w:val="none" w:color="000000" w:sz="2" w:space="4"/>
          <w:bottom w:val="none" w:color="000000" w:sz="2" w:space="1"/>
          <w:right w:val="none" w:color="000000" w:sz="2" w:space="4"/>
        </w:pBdr>
      </w:pPr>
      <w:r>
        <w:rPr>
          <w:rFonts w:ascii="Calibri"/>
        </w:rPr>
        <w:t>English, Korean</w:t>
      </w:r>
    </w:p>
    <w:p>
      <w:pPr>
        <w:pStyle w:val="0"/>
        <w:widowControl w:val="off"/>
        <w:pBdr>
          <w:top w:val="none" w:color="000000" w:sz="2" w:space="1"/>
          <w:left w:val="none" w:color="000000" w:sz="2" w:space="4"/>
          <w:bottom w:val="none" w:color="000000" w:sz="2" w:space="1"/>
          <w:right w:val="none" w:color="000000" w:sz="2" w:space="4"/>
        </w:pBdr>
        <w:rPr>
          <w:rFonts w:ascii="Calibri"/>
          <w:color w:val="000000"/>
        </w:rPr>
      </w:pPr>
    </w:p>
    <w:p>
      <w:pPr>
        <w:pStyle w:val="0"/>
        <w:widowControl w:val="off"/>
        <w:pBdr>
          <w:top w:val="none" w:color="000000" w:sz="2" w:space="1"/>
          <w:left w:val="none" w:color="000000" w:sz="2" w:space="4"/>
          <w:bottom w:val="none" w:color="000000" w:sz="2" w:space="1"/>
          <w:right w:val="none" w:color="000000" w:sz="2" w:space="4"/>
        </w:pBdr>
      </w:pPr>
      <w:r>
        <w:rPr>
          <w:rFonts w:ascii="Calibri"/>
          <w:b/>
          <w:i/>
        </w:rPr>
        <w:t>License</w:t>
      </w:r>
      <w:r>
        <w:br/>
      </w:r>
      <w:r>
        <w:rPr>
          <w:rFonts w:ascii="Calibri"/>
        </w:rPr>
        <w:t xml:space="preserve">CC-BY 4.0 </w:t>
      </w:r>
    </w:p>
    <w:p>
      <w:pPr>
        <w:pStyle w:val="0"/>
        <w:widowControl w:val="off"/>
        <w:pBdr>
          <w:top w:val="none" w:color="000000" w:sz="2" w:space="1"/>
          <w:left w:val="none" w:color="000000" w:sz="2" w:space="4"/>
          <w:bottom w:val="none" w:color="000000" w:sz="2" w:space="1"/>
          <w:right w:val="none" w:color="000000" w:sz="2" w:space="4"/>
        </w:pBdr>
        <w:rPr>
          <w:rFonts w:ascii="Calibri"/>
          <w:i/>
          <w:color w:val="0000ff"/>
        </w:rPr>
      </w:pPr>
    </w:p>
    <w:p>
      <w:pPr>
        <w:pStyle w:val="0"/>
        <w:widowControl w:val="off"/>
        <w:pBdr>
          <w:top w:val="none" w:color="000000" w:sz="2" w:space="1"/>
          <w:left w:val="none" w:color="000000" w:sz="2" w:space="4"/>
          <w:bottom w:val="none" w:color="000000" w:sz="2" w:space="1"/>
          <w:right w:val="none" w:color="000000" w:sz="2" w:space="4"/>
        </w:pBdr>
      </w:pPr>
      <w:r>
        <w:rPr>
          <w:rFonts w:ascii="Calibri"/>
          <w:b/>
          <w:i/>
        </w:rPr>
        <w:t>Repository location</w:t>
      </w:r>
    </w:p>
    <w:p>
      <w:pPr>
        <w:pStyle w:val="0"/>
        <w:widowControl w:val="off"/>
        <w:pBdr>
          <w:top w:val="none" w:color="000000" w:sz="2" w:space="1"/>
          <w:left w:val="none" w:color="000000" w:sz="2" w:space="4"/>
          <w:bottom w:val="none" w:color="000000" w:sz="2" w:space="1"/>
          <w:right w:val="none" w:color="000000" w:sz="2" w:space="4"/>
        </w:pBdr>
      </w:pPr>
      <w:r>
        <w:rPr>
          <w:rFonts w:ascii="Calibri"/>
          <w:color w:val="ff0000"/>
        </w:rPr>
        <w:t>Github link</w:t>
      </w:r>
    </w:p>
    <w:p>
      <w:pPr>
        <w:pStyle w:val="0"/>
        <w:widowControl w:val="off"/>
        <w:pBdr>
          <w:top w:val="none" w:color="000000" w:sz="2" w:space="1"/>
          <w:left w:val="none" w:color="000000" w:sz="2" w:space="4"/>
          <w:bottom w:val="none" w:color="000000" w:sz="2" w:space="1"/>
          <w:right w:val="none" w:color="000000" w:sz="2" w:space="4"/>
        </w:pBdr>
        <w:rPr>
          <w:rFonts w:ascii="Calibri"/>
          <w:i/>
          <w:color w:val="0000ff"/>
        </w:rPr>
      </w:pPr>
    </w:p>
    <w:p>
      <w:pPr>
        <w:pStyle w:val="0"/>
        <w:widowControl w:val="off"/>
        <w:pBdr>
          <w:top w:val="none" w:color="000000" w:sz="2" w:space="1"/>
          <w:left w:val="none" w:color="000000" w:sz="2" w:space="4"/>
          <w:bottom w:val="none" w:color="000000" w:sz="2" w:space="1"/>
          <w:right w:val="none" w:color="000000" w:sz="2" w:space="4"/>
        </w:pBdr>
      </w:pPr>
      <w:r>
        <w:rPr>
          <w:rFonts w:ascii="Calibri"/>
          <w:b/>
          <w:i/>
        </w:rPr>
        <w:t>Publication date</w:t>
      </w:r>
    </w:p>
    <w:p>
      <w:pPr>
        <w:pStyle w:val="0"/>
        <w:widowControl w:val="off"/>
        <w:pBdr>
          <w:top w:val="none" w:color="000000" w:sz="2" w:space="1"/>
          <w:left w:val="none" w:color="000000" w:sz="2" w:space="4"/>
          <w:bottom w:val="none" w:color="000000" w:sz="2" w:space="1"/>
          <w:right w:val="none" w:color="000000" w:sz="2" w:space="4"/>
        </w:pBdr>
      </w:pPr>
      <w:r>
        <w:rPr>
          <w:rFonts w:ascii="Calibri"/>
          <w:color w:val="ff0000"/>
        </w:rPr>
        <w:t>??/??/2026</w:t>
      </w:r>
    </w:p>
    <w:p>
      <w:pPr>
        <w:pStyle w:val="0"/>
        <w:widowControl w:val="off"/>
        <w:pBdr>
          <w:top w:val="none" w:color="000000" w:sz="2" w:space="1"/>
          <w:left w:val="none" w:color="000000" w:sz="2" w:space="4"/>
          <w:bottom w:val="none" w:color="000000" w:sz="2" w:space="1"/>
          <w:right w:val="none" w:color="000000" w:sz="2" w:space="4"/>
        </w:pBdr>
        <w:rPr>
          <w:rFonts w:ascii="Calibri"/>
          <w:color w:val="000000"/>
        </w:rPr>
      </w:pPr>
    </w:p>
    <w:p>
      <w:pPr>
        <w:pStyle w:val="0"/>
        <w:widowControl w:val="off"/>
        <w:pBdr>
          <w:top w:val="none" w:color="000000" w:sz="2" w:space="1"/>
          <w:left w:val="none" w:color="000000" w:sz="2" w:space="4"/>
          <w:bottom w:val="none" w:color="000000" w:sz="2" w:space="1"/>
          <w:right w:val="none" w:color="000000" w:sz="2" w:space="4"/>
        </w:pBdr>
        <w:rPr>
          <w:rFonts w:ascii="Calibri"/>
          <w:b/>
          <w:color w:val="000000"/>
          <w:sz w:val="26"/>
        </w:rPr>
      </w:pPr>
    </w:p>
    <w:p>
      <w:pPr>
        <w:pStyle w:val="8"/>
        <w:widowControl w:val="off"/>
        <w:pBdr>
          <w:top w:val="none" w:color="000000" w:sz="2" w:space="1"/>
          <w:left w:val="none" w:color="000000" w:sz="2" w:space="4"/>
          <w:bottom w:val="none" w:color="000000" w:sz="2" w:space="1"/>
          <w:right w:val="none" w:color="000000" w:sz="2" w:space="4"/>
        </w:pBdr>
      </w:pPr>
      <w:r>
        <w:rPr>
          <w:rFonts w:ascii="Calibri"/>
        </w:rPr>
        <w:t>(4) Reuse potential</w:t>
      </w:r>
    </w:p>
    <w:p>
      <w:pPr>
        <w:pStyle w:val="8"/>
        <w:widowControl w:val="off"/>
        <w:pBdr>
          <w:top w:val="none" w:color="000000" w:sz="2" w:space="1"/>
          <w:left w:val="none" w:color="000000" w:sz="2" w:space="4"/>
          <w:bottom w:val="none" w:color="000000" w:sz="2" w:space="1"/>
          <w:right w:val="none" w:color="000000" w:sz="2" w:space="4"/>
        </w:pBdr>
      </w:pPr>
      <w:r>
        <w:rPr>
          <w:rFonts w:ascii="Calibri"/>
          <w:b w:val="0"/>
          <w:sz w:val="24"/>
        </w:rPr>
        <w:t>The Hanseong region’s high academic interest is reflected in various scholarly debates. This radiocarbon database is a crucial resource for advancing these discussions, particularly regarding royal fortresses like Pungnaptoseong and Mongchontoseong. Research on these ramparts focuses on initial construction and expansion [1] [2] [3] [4], yet limited artifacts within structures hinder traditional typological chronology. Radiocarbon analysis, including wiggle-matching, offers a vital alternative for resolving debates over 3rd- versus 4th-century origins.</w:t>
      </w:r>
    </w:p>
    <w:p>
      <w:pPr>
        <w:pStyle w:val="13"/>
        <w:widowControl w:val="off"/>
      </w:pPr>
      <w:r>
        <w:rPr/>
        <w:t xml:space="preserve">Figure </w:t>
      </w:r>
      <w:fldSimple w:instr="SEQ 그림 %d \* ARABIC">
        <w:r>
          <w:t>1</w:t>
        </w:r>
      </w:fldSimple>
      <w:r>
        <w:rPr/>
        <w:t xml:space="preserve">. </w:t>
      </w:r>
      <w:r>
        <w:rPr/>
        <w:t>SPD by each historical site in the Hanseong Region</w:t>
      </w:r>
    </w:p>
    <w:p>
      <w:pPr>
        <w:pStyle w:val="0"/>
        <w:widowControl w:val="off"/>
        <w:pBdr>
          <w:top w:val="none" w:color="000000" w:sz="2" w:space="1"/>
          <w:left w:val="none" w:color="000000" w:sz="2" w:space="4"/>
          <w:bottom w:val="none" w:color="000000" w:sz="2" w:space="1"/>
          <w:right w:val="none" w:color="000000" w:sz="2" w:space="4"/>
        </w:pBdr>
      </w:pPr>
      <w:r>
        <w:drawing>
          <wp:anchor distT="0" distB="0" distL="0" distR="0" simplePos="0" relativeHeight="2" behindDoc="0" locked="0" layoutInCell="1" allowOverlap="1">
            <wp:simplePos x="0" y="0"/>
            <wp:positionH relativeFrom="column">
              <wp:posOffset>0</wp:posOffset>
            </wp:positionH>
            <wp:positionV relativeFrom="paragraph">
              <wp:posOffset>0</wp:posOffset>
            </wp:positionV>
            <wp:extent cx="5273675" cy="3013456"/>
            <wp:effectExtent l="0" t="0" r="0" b="0"/>
            <wp:wrapTopAndBottom/>
            <wp:docPr id="4" name="그림 %d 4"/>
            <wp:cNvGraphicFramePr/>
            <a:graphic>
              <a:graphicData uri="http://schemas.openxmlformats.org/drawingml/2006/picture">
                <pic:pic>
                  <pic:nvPicPr>
                    <pic:cNvPr id="0" name="/var/folders/7b/03f35yzx7ks_sk6k6g5tsnhh0000gn/T//Hnc/BinData/EMB00000a973bee.png"/>
                    <pic:cNvPicPr/>
                  </pic:nvPicPr>
                  <pic:blipFill>
                    <a:blip r:embed="rId2"/>
                    <a:stretch>
                      <a:fillRect/>
                    </a:stretch>
                  </pic:blipFill>
                  <pic:spPr>
                    <a:xfrm>
                      <a:off x="0" y="0"/>
                      <a:ext cx="5273675" cy="3013456"/>
                    </a:xfrm>
                    <a:prstGeom prst="rect">
                      <a:avLst/>
                    </a:prstGeom>
                    <a:effectLst/>
                  </pic:spPr>
                </pic:pic>
              </a:graphicData>
            </a:graphic>
          </wp:anchor>
        </w:drawing>
      </w:r>
    </w:p>
    <w:p>
      <w:pPr>
        <w:pStyle w:val="8"/>
        <w:widowControl w:val="off"/>
        <w:pBdr>
          <w:top w:val="none" w:color="000000" w:sz="2" w:space="1"/>
          <w:left w:val="none" w:color="000000" w:sz="2" w:space="4"/>
          <w:bottom w:val="none" w:color="000000" w:sz="2" w:space="1"/>
          <w:right w:val="none" w:color="000000" w:sz="2" w:space="4"/>
        </w:pBdr>
        <w:ind w:firstLine="240"/>
      </w:pPr>
      <w:r>
        <w:rPr>
          <w:rFonts w:ascii="Calibri"/>
          <w:b w:val="0"/>
          <w:sz w:val="24"/>
        </w:rPr>
        <w:t>Furthermore, the dataset facilitates examining spatial transformations. Urbanization has limited excavations to fragmentary areas, creating complex stratigraphy that challenges existing chronologies [5] [6]. By applying Summed Probability Distribution (SPD) and GIS-based analysis, researchers can achieve a holistic view of the region's evolution. Integrated studies using these methods are already active [4] [5] [7], and this database provides the foundation for further synthesis. As excavations continue</w:t>
      </w:r>
      <w:r>
        <w:rPr>
          <w:rFonts w:ascii="Calibri"/>
          <w:b w:val="0"/>
          <w:sz w:val="24"/>
        </w:rPr>
        <w:t>—</w:t>
      </w:r>
      <w:r>
        <w:rPr>
          <w:rFonts w:ascii="Calibri"/>
          <w:b w:val="0"/>
          <w:sz w:val="24"/>
        </w:rPr>
        <w:t>such as recent investigations of Pungnaptoseong’s west and east ramparts yielding over a hundred new samples</w:t>
      </w:r>
      <w:r>
        <w:rPr>
          <w:rFonts w:ascii="Calibri"/>
          <w:b w:val="0"/>
          <w:sz w:val="24"/>
        </w:rPr>
        <w:t>—</w:t>
      </w:r>
      <w:r>
        <w:rPr>
          <w:rFonts w:ascii="Calibri"/>
          <w:b w:val="0"/>
          <w:sz w:val="24"/>
        </w:rPr>
        <w:t>the database will receive periodic updates. Continuous management is essential to support long-term integrated research, ensuring the database remains a living resource for understanding Hanseong Baekje.</w:t>
      </w:r>
    </w:p>
    <w:p>
      <w:pPr>
        <w:pStyle w:val="8"/>
        <w:widowControl w:val="off"/>
        <w:pBdr>
          <w:top w:val="none" w:color="000000" w:sz="2" w:space="1"/>
          <w:left w:val="none" w:color="000000" w:sz="2" w:space="4"/>
          <w:bottom w:val="none" w:color="000000" w:sz="2" w:space="1"/>
          <w:right w:val="none" w:color="000000" w:sz="2" w:space="4"/>
        </w:pBdr>
        <w:ind w:firstLine="260"/>
        <w:rPr>
          <w:rFonts w:ascii="Calibri"/>
          <w:color w:val="000000"/>
        </w:rPr>
      </w:pPr>
    </w:p>
    <w:p>
      <w:pPr>
        <w:pStyle w:val="8"/>
        <w:widowControl w:val="off"/>
        <w:pBdr>
          <w:top w:val="none" w:color="000000" w:sz="2" w:space="1"/>
          <w:left w:val="none" w:color="000000" w:sz="2" w:space="4"/>
          <w:bottom w:val="none" w:color="000000" w:sz="2" w:space="1"/>
          <w:right w:val="none" w:color="000000" w:sz="2" w:space="4"/>
        </w:pBdr>
      </w:pPr>
      <w:r>
        <w:rPr>
          <w:rFonts w:ascii="Calibri"/>
        </w:rPr>
        <w:t>Acknowledgements</w:t>
      </w:r>
    </w:p>
    <w:p>
      <w:pPr>
        <w:pStyle w:val="8"/>
        <w:widowControl w:val="off"/>
        <w:pBdr>
          <w:top w:val="none" w:color="000000" w:sz="2" w:space="1"/>
          <w:left w:val="none" w:color="000000" w:sz="2" w:space="4"/>
          <w:bottom w:val="single" w:color="0a0000" w:sz="6" w:space="1"/>
          <w:right w:val="none" w:color="000000" w:sz="2" w:space="4"/>
        </w:pBdr>
      </w:pPr>
      <w:r>
        <w:rPr>
          <w:rFonts w:ascii="Calibri"/>
          <w:b w:val="0"/>
          <w:sz w:val="24"/>
        </w:rPr>
        <w:t>The authors express their deepest gratitude to all the researchers who have dedicated themselves to the archaeological investigations in the Hanseong region.</w:t>
      </w:r>
    </w:p>
    <w:p>
      <w:pPr>
        <w:pStyle w:val="8"/>
        <w:widowControl w:val="off"/>
        <w:pBdr>
          <w:top w:val="none" w:color="000000" w:sz="2" w:space="1"/>
          <w:left w:val="none" w:color="000000" w:sz="2" w:space="4"/>
          <w:bottom w:val="single" w:color="0a0000" w:sz="6" w:space="1"/>
          <w:right w:val="none" w:color="000000" w:sz="2" w:space="4"/>
        </w:pBdr>
        <w:rPr>
          <w:rFonts w:ascii="Calibri"/>
          <w:b w:val="0"/>
          <w:color w:val="0000ff"/>
          <w:sz w:val="24"/>
        </w:rPr>
      </w:pPr>
    </w:p>
    <w:p>
      <w:pPr>
        <w:pStyle w:val="8"/>
        <w:widowControl w:val="off"/>
        <w:pBdr>
          <w:top w:val="none" w:color="000000" w:sz="2" w:space="1"/>
          <w:left w:val="none" w:color="000000" w:sz="2" w:space="4"/>
          <w:bottom w:val="single" w:color="0a0000" w:sz="6" w:space="1"/>
          <w:right w:val="none" w:color="000000" w:sz="2" w:space="4"/>
        </w:pBdr>
      </w:pPr>
      <w:r>
        <w:rPr>
          <w:rFonts w:ascii="Calibri"/>
        </w:rPr>
        <w:t>Funding statement</w:t>
      </w:r>
    </w:p>
    <w:p>
      <w:pPr>
        <w:pStyle w:val="8"/>
        <w:widowControl w:val="off"/>
        <w:pBdr>
          <w:top w:val="none" w:color="000000" w:sz="2" w:space="1"/>
          <w:left w:val="none" w:color="000000" w:sz="2" w:space="4"/>
          <w:bottom w:val="single" w:color="0a0000" w:sz="6" w:space="1"/>
          <w:right w:val="none" w:color="000000" w:sz="2" w:space="4"/>
        </w:pBdr>
      </w:pPr>
      <w:r>
        <w:rPr>
          <w:rFonts w:ascii="Calibri"/>
          <w:b w:val="0"/>
          <w:sz w:val="24"/>
        </w:rPr>
        <w:t>The publication of this paper and dataset was carried out and funded with the support of the 2026 research project of the Seoul National Research Institute of Cultural Heritage, South Korea, entitled “Academic Investigation of the Hanseong Baekje Capital Sites” (NRICH-2505-A66F-1).</w:t>
      </w:r>
    </w:p>
    <w:p>
      <w:pPr>
        <w:pStyle w:val="8"/>
        <w:widowControl w:val="off"/>
        <w:pBdr>
          <w:top w:val="none" w:color="000000" w:sz="2" w:space="1"/>
          <w:left w:val="none" w:color="000000" w:sz="2" w:space="4"/>
          <w:bottom w:val="single" w:color="0a0000" w:sz="6" w:space="1"/>
          <w:right w:val="none" w:color="000000" w:sz="2" w:space="4"/>
        </w:pBdr>
        <w:rPr>
          <w:rFonts w:ascii="Calibri"/>
          <w:b w:val="0"/>
          <w:color w:val="0000ff"/>
          <w:sz w:val="24"/>
        </w:rPr>
      </w:pPr>
    </w:p>
    <w:p>
      <w:pPr>
        <w:pStyle w:val="0"/>
        <w:widowControl w:val="off"/>
        <w:pBdr>
          <w:top w:val="none" w:color="000000" w:sz="2" w:space="1"/>
          <w:left w:val="none" w:color="000000" w:sz="2" w:space="4"/>
          <w:bottom w:val="none" w:color="000000" w:sz="2" w:space="1"/>
          <w:right w:val="none" w:color="000000" w:sz="2" w:space="4"/>
        </w:pBdr>
        <w:spacing w:before="240" w:after="240"/>
      </w:pPr>
      <w:r>
        <w:rPr>
          <w:rFonts w:ascii="Calibri"/>
          <w:b/>
          <w:sz w:val="26"/>
        </w:rPr>
        <w:t>Competing interests</w:t>
      </w:r>
    </w:p>
    <w:p>
      <w:pPr>
        <w:pStyle w:val="8"/>
        <w:widowControl w:val="off"/>
        <w:pBdr>
          <w:top w:val="none" w:color="000000" w:sz="2" w:space="1"/>
          <w:left w:val="none" w:color="000000" w:sz="2" w:space="4"/>
          <w:bottom w:val="single" w:color="0a0000" w:sz="6" w:space="1"/>
          <w:right w:val="none" w:color="000000" w:sz="2" w:space="4"/>
        </w:pBdr>
      </w:pPr>
      <w:r>
        <w:rPr>
          <w:rFonts w:ascii="Calibri"/>
          <w:b w:val="0"/>
          <w:sz w:val="24"/>
        </w:rPr>
        <w:t>The authors have no competing interests to declare.</w:t>
      </w:r>
    </w:p>
    <w:p>
      <w:pPr>
        <w:pStyle w:val="8"/>
        <w:widowControl w:val="off"/>
        <w:pBdr>
          <w:top w:val="none" w:color="000000" w:sz="2" w:space="1"/>
          <w:left w:val="none" w:color="000000" w:sz="2" w:space="4"/>
          <w:bottom w:val="single" w:color="0a0000" w:sz="6" w:space="1"/>
          <w:right w:val="none" w:color="000000" w:sz="2" w:space="4"/>
        </w:pBdr>
        <w:rPr>
          <w:color w:val="000000"/>
          <w:sz w:val="20"/>
        </w:rPr>
      </w:pPr>
    </w:p>
    <w:p>
      <w:pPr>
        <w:pStyle w:val="0"/>
        <w:widowControl w:val="off"/>
        <w:pBdr>
          <w:top w:val="none" w:color="000000" w:sz="2" w:space="1"/>
          <w:left w:val="none" w:color="000000" w:sz="2" w:space="4"/>
          <w:bottom w:val="none" w:color="000000" w:sz="2" w:space="1"/>
          <w:right w:val="none" w:color="000000" w:sz="2" w:space="4"/>
        </w:pBdr>
        <w:spacing w:before="240" w:after="240"/>
      </w:pPr>
      <w:r>
        <w:rPr>
          <w:rFonts w:ascii="Calibri"/>
          <w:b/>
          <w:sz w:val="26"/>
        </w:rPr>
        <w:t>Authors' contributions</w:t>
      </w:r>
    </w:p>
    <w:p>
      <w:pPr>
        <w:pStyle w:val="8"/>
        <w:widowControl w:val="off"/>
        <w:pBdr>
          <w:top w:val="none" w:color="000000" w:sz="2" w:space="1"/>
          <w:left w:val="none" w:color="000000" w:sz="2" w:space="4"/>
          <w:bottom w:val="none" w:color="000000" w:sz="2" w:space="1"/>
          <w:right w:val="none" w:color="000000" w:sz="2" w:space="4"/>
        </w:pBdr>
      </w:pPr>
      <w:r>
        <w:rPr>
          <w:rFonts w:ascii="Calibri"/>
          <w:b w:val="0"/>
          <w:sz w:val="24"/>
        </w:rPr>
        <w:t>All authors contributed equally to this paper. Ju. C. performed data collection and wrote portions of the manuscript; Dzon. S. conceptualized the study and wrote portions of the manuscript; and Park. H. was responsible for creating figures and collecting coordinate information for the samples.</w:t>
      </w:r>
    </w:p>
    <w:p>
      <w:pPr>
        <w:pStyle w:val="0"/>
        <w:widowControl w:val="off"/>
        <w:pBdr>
          <w:top w:val="none" w:color="000000" w:sz="2" w:space="1"/>
          <w:left w:val="none" w:color="000000" w:sz="2" w:space="4"/>
          <w:bottom w:val="none" w:color="000000" w:sz="2" w:space="1"/>
          <w:right w:val="none" w:color="000000" w:sz="2" w:space="4"/>
        </w:pBdr>
        <w:spacing w:before="240" w:after="240"/>
      </w:pPr>
      <w:r>
        <w:rPr>
          <w:rFonts w:ascii="Calibri"/>
          <w:b/>
          <w:sz w:val="26"/>
        </w:rPr>
        <w:t>References</w:t>
      </w:r>
    </w:p>
    <w:p>
      <w:pPr>
        <w:pStyle w:val="0"/>
        <w:widowControl w:val="off"/>
        <w:pBdr>
          <w:top w:val="none" w:color="000000" w:sz="2" w:space="1"/>
          <w:left w:val="none" w:color="000000" w:sz="2" w:space="4"/>
          <w:bottom w:val="none" w:color="000000" w:sz="2" w:space="1"/>
          <w:right w:val="none" w:color="000000" w:sz="2" w:space="4"/>
        </w:pBdr>
        <w:ind w:left="426" w:hanging="426"/>
      </w:pPr>
      <w:r>
        <w:rPr>
          <w:rFonts w:ascii="Calibri"/>
        </w:rPr>
        <w:t xml:space="preserve"> [1] </w:t>
      </w:r>
      <w:r>
        <w:tab/>
        <w:rPr>
          <w:rFonts w:ascii="Calibri"/>
        </w:rPr>
        <w:t xml:space="preserve">Park, S. 2003 Review on the Early Baekje Capital city System </w:t>
      </w:r>
      <w:r>
        <w:rPr>
          <w:rFonts w:ascii="Calibri"/>
        </w:rPr>
        <w:t>–</w:t>
      </w:r>
      <w:r>
        <w:rPr>
          <w:rFonts w:ascii="Calibri"/>
        </w:rPr>
        <w:t xml:space="preserve"> focused on the temporal placement of the construction of citadel. Prehistory and ancient history 19.</w:t>
      </w:r>
    </w:p>
    <w:p>
      <w:pPr>
        <w:pStyle w:val="0"/>
        <w:widowControl w:val="off"/>
        <w:pBdr>
          <w:top w:val="none" w:color="000000" w:sz="2" w:space="1"/>
          <w:left w:val="none" w:color="000000" w:sz="2" w:space="4"/>
          <w:bottom w:val="none" w:color="000000" w:sz="2" w:space="1"/>
          <w:right w:val="none" w:color="000000" w:sz="2" w:space="4"/>
        </w:pBdr>
        <w:ind w:left="426" w:hanging="426"/>
      </w:pPr>
      <w:r>
        <w:rPr>
          <w:rFonts w:ascii="Calibri"/>
        </w:rPr>
        <w:t xml:space="preserve">[2] </w:t>
      </w:r>
      <w:r>
        <w:tab/>
        <w:rPr>
          <w:rFonts w:ascii="Calibri"/>
        </w:rPr>
        <w:t>Shin, H. 2002 A Study on “Hanamwiryeseong” through the excavation of “Pungnabtoseong”. Journal of The City History Compilation Committee of Seoul 62.</w:t>
      </w:r>
    </w:p>
    <w:p>
      <w:pPr>
        <w:pStyle w:val="0"/>
        <w:widowControl w:val="off"/>
        <w:pBdr>
          <w:top w:val="none" w:color="000000" w:sz="2" w:space="1"/>
          <w:left w:val="none" w:color="000000" w:sz="2" w:space="4"/>
          <w:bottom w:val="none" w:color="000000" w:sz="2" w:space="1"/>
          <w:right w:val="none" w:color="000000" w:sz="2" w:space="4"/>
        </w:pBdr>
        <w:ind w:left="426" w:hanging="426"/>
      </w:pPr>
      <w:r>
        <w:rPr>
          <w:rFonts w:ascii="Calibri"/>
        </w:rPr>
        <w:t xml:space="preserve">[3] </w:t>
      </w:r>
      <w:r>
        <w:tab/>
        <w:rPr>
          <w:rFonts w:ascii="Calibri"/>
        </w:rPr>
        <w:t>Lee, S., Kim, M. and Na, H. 2013 Analysis of the Construction Period of Pungnab Earthen Wall Fortress Based on Scientific Research. Journal of the Korean archaeological society 88.</w:t>
      </w:r>
    </w:p>
    <w:p>
      <w:pPr>
        <w:pStyle w:val="0"/>
        <w:widowControl w:val="off"/>
        <w:pBdr>
          <w:top w:val="none" w:color="000000" w:sz="2" w:space="1"/>
          <w:left w:val="none" w:color="000000" w:sz="2" w:space="4"/>
          <w:bottom w:val="none" w:color="000000" w:sz="2" w:space="1"/>
          <w:right w:val="none" w:color="000000" w:sz="2" w:space="4"/>
        </w:pBdr>
        <w:ind w:left="426" w:hanging="426"/>
      </w:pPr>
      <w:r>
        <w:rPr>
          <w:rFonts w:ascii="Calibri"/>
        </w:rPr>
        <w:t xml:space="preserve">[4] </w:t>
      </w:r>
      <w:r>
        <w:tab/>
        <w:rPr>
          <w:rFonts w:ascii="Calibri"/>
        </w:rPr>
        <w:t xml:space="preserve">Hong, S. 2023 The Study on Urban Management at Royal Capital Historical Society 119. DOI: </w:t>
      </w:r>
      <w:hyperlink w:history="1" r:id="rId3">
        <w:r>
          <w:rPr>
            <w:rFonts w:ascii="Calibri"/>
            <w:u w:val="single" w:color="0000ff"/>
          </w:rPr>
          <w:t>https://doi.org/10.18040/sgs.2023.119.55</w:t>
        </w:r>
      </w:hyperlink>
    </w:p>
    <w:p>
      <w:pPr>
        <w:pStyle w:val="0"/>
        <w:widowControl w:val="off"/>
        <w:pBdr>
          <w:top w:val="none" w:color="000000" w:sz="2" w:space="1"/>
          <w:left w:val="none" w:color="000000" w:sz="2" w:space="4"/>
          <w:bottom w:val="none" w:color="000000" w:sz="2" w:space="1"/>
          <w:right w:val="none" w:color="000000" w:sz="2" w:space="4"/>
        </w:pBdr>
        <w:ind w:left="426" w:hanging="426"/>
      </w:pPr>
      <w:r>
        <w:rPr>
          <w:rFonts w:ascii="Calibri"/>
        </w:rPr>
        <w:t xml:space="preserve">[5] </w:t>
      </w:r>
      <w:r>
        <w:tab/>
        <w:rPr>
          <w:rFonts w:ascii="Calibri"/>
        </w:rPr>
        <w:t xml:space="preserve">Song, M. 2024 A Critical Review of the Lower Limit of Baekje’s Earthnware in the Hanseong Period. YOKSA HAKBO 264. DOI: </w:t>
      </w:r>
      <w:hyperlink w:history="1" r:id="rId4">
        <w:r>
          <w:rPr>
            <w:rFonts w:ascii="Calibri"/>
            <w:u w:val="single" w:color="0000ff"/>
          </w:rPr>
          <w:t>https://doi.org/10.16912/tkhr.2024.12.264.73</w:t>
        </w:r>
      </w:hyperlink>
    </w:p>
    <w:p>
      <w:pPr>
        <w:pStyle w:val="0"/>
        <w:widowControl w:val="off"/>
        <w:pBdr>
          <w:top w:val="none" w:color="000000" w:sz="2" w:space="1"/>
          <w:left w:val="none" w:color="000000" w:sz="2" w:space="4"/>
          <w:bottom w:val="none" w:color="000000" w:sz="2" w:space="1"/>
          <w:right w:val="none" w:color="000000" w:sz="2" w:space="4"/>
        </w:pBdr>
        <w:ind w:left="426" w:hanging="426"/>
      </w:pPr>
      <w:r>
        <w:rPr>
          <w:rFonts w:ascii="Calibri"/>
        </w:rPr>
        <w:t xml:space="preserve">[6] </w:t>
      </w:r>
      <w:r>
        <w:tab/>
        <w:rPr>
          <w:rFonts w:ascii="Calibri"/>
        </w:rPr>
        <w:t xml:space="preserve">Ju, C. 2025 Population changes in the Central Region during the Proto Three Kingdoms Period to the Baekje Hanseong Period in Korea, Journal of the Korean Ancient Historical Society 129. DOI: </w:t>
      </w:r>
      <w:hyperlink w:history="1" r:id="rId5">
        <w:r>
          <w:rPr>
            <w:rFonts w:ascii="Calibri"/>
            <w:u w:val="single" w:color="0000ff"/>
          </w:rPr>
          <w:t>https://doi.org/10.18040/sgs.2025.129.99</w:t>
        </w:r>
      </w:hyperlink>
    </w:p>
    <w:p>
      <w:pPr>
        <w:pStyle w:val="0"/>
        <w:widowControl w:val="off"/>
        <w:pBdr>
          <w:top w:val="none" w:color="000000" w:sz="2" w:space="1"/>
          <w:left w:val="none" w:color="000000" w:sz="2" w:space="4"/>
          <w:bottom w:val="none" w:color="000000" w:sz="2" w:space="1"/>
          <w:right w:val="none" w:color="000000" w:sz="2" w:space="4"/>
        </w:pBdr>
        <w:ind w:left="426" w:hanging="426"/>
      </w:pPr>
      <w:r>
        <w:rPr>
          <w:rFonts w:ascii="Calibri"/>
        </w:rPr>
        <w:t xml:space="preserve">[7] </w:t>
      </w:r>
      <w:r>
        <w:tab/>
        <w:rPr>
          <w:rFonts w:ascii="Calibri"/>
        </w:rPr>
        <w:t xml:space="preserve">Dzon, S., Park, H., Lim, Y. and Kim, Y. 2025 A study on the Reconstruction of the Spatial Structure of Pungnap Fortress-Focusing on GIS Interpolation Methods. Journal of the Korean Archaeological Society 135. DOI: </w:t>
      </w:r>
      <w:hyperlink w:history="1" r:id="rId6">
        <w:r>
          <w:rPr>
            <w:rFonts w:ascii="Calibri"/>
            <w:u w:val="single" w:color="0000ff"/>
          </w:rPr>
          <w:t>https://doi.org/10.47439/JKRAS.2025.2.333</w:t>
        </w:r>
      </w:hyperlink>
    </w:p>
    <w:p>
      <w:pPr>
        <w:pStyle w:val="0"/>
        <w:widowControl w:val="off"/>
        <w:pBdr>
          <w:top w:val="none" w:color="000000" w:sz="2" w:space="1"/>
          <w:left w:val="none" w:color="000000" w:sz="2" w:space="4"/>
          <w:bottom w:val="single" w:color="0a0000" w:sz="6" w:space="1"/>
          <w:right w:val="none" w:color="000000" w:sz="2" w:space="4"/>
        </w:pBdr>
        <w:rPr>
          <w:rFonts w:ascii="Calibri"/>
          <w:color w:val="000000"/>
        </w:rPr>
      </w:pPr>
    </w:p>
    <w:p>
      <w:pPr>
        <w:pStyle w:val="0"/>
        <w:widowControl w:val="off"/>
        <w:pBdr>
          <w:top w:val="none" w:color="000000" w:sz="2" w:space="1"/>
          <w:left w:val="none" w:color="000000" w:sz="2" w:space="4"/>
          <w:bottom w:val="none" w:color="000000" w:sz="2" w:space="1"/>
          <w:right w:val="none" w:color="000000" w:sz="2" w:space="4"/>
        </w:pBdr>
        <w:rPr>
          <w:rFonts w:ascii="Calibri"/>
          <w:b/>
          <w:color w:val="000000"/>
          <w:sz w:val="26"/>
        </w:rPr>
      </w:pPr>
    </w:p>
    <w:p>
      <w:pPr>
        <w:pStyle w:val="0"/>
        <w:widowControl w:val="off"/>
        <w:pBdr>
          <w:top w:val="none" w:color="000000" w:sz="2" w:space="1"/>
          <w:left w:val="none" w:color="000000" w:sz="2" w:space="4"/>
          <w:bottom w:val="none" w:color="000000" w:sz="2" w:space="1"/>
          <w:right w:val="none" w:color="000000" w:sz="2" w:space="4"/>
        </w:pBdr>
      </w:pPr>
      <w:r>
        <w:rPr>
          <w:rFonts w:ascii="Calibri"/>
          <w:b/>
          <w:sz w:val="26"/>
        </w:rPr>
        <w:t>Copyright Notice</w:t>
      </w:r>
    </w:p>
    <w:p>
      <w:pPr>
        <w:pStyle w:val="0"/>
        <w:widowControl w:val="off"/>
        <w:pBdr>
          <w:top w:val="none" w:color="000000" w:sz="2" w:space="1"/>
          <w:left w:val="none" w:color="000000" w:sz="2" w:space="4"/>
          <w:bottom w:val="none" w:color="000000" w:sz="2" w:space="1"/>
          <w:right w:val="none" w:color="000000" w:sz="2" w:space="4"/>
        </w:pBdr>
        <w:rPr>
          <w:rFonts w:ascii="Calibri"/>
          <w:b/>
          <w:color w:val="000000"/>
          <w:sz w:val="26"/>
        </w:rPr>
      </w:pPr>
    </w:p>
    <w:p>
      <w:pPr>
        <w:pStyle w:val="0"/>
        <w:widowControl w:val="off"/>
        <w:pBdr>
          <w:top w:val="none" w:color="000000" w:sz="2" w:space="1"/>
          <w:left w:val="none" w:color="000000" w:sz="2" w:space="4"/>
          <w:bottom w:val="none" w:color="000000" w:sz="2" w:space="1"/>
          <w:right w:val="none" w:color="000000" w:sz="2" w:space="4"/>
        </w:pBdr>
      </w:pPr>
      <w:r>
        <w:rPr>
          <w:rFonts w:ascii="Calibri"/>
          <w:color w:val="0000ff"/>
        </w:rPr>
        <w:t>Authors who publish with this journal agree to the following terms:</w:t>
      </w:r>
    </w:p>
    <w:p>
      <w:pPr>
        <w:pStyle w:val="0"/>
        <w:widowControl w:val="off"/>
        <w:pBdr>
          <w:top w:val="none" w:color="000000" w:sz="2" w:space="1"/>
          <w:left w:val="none" w:color="000000" w:sz="2" w:space="4"/>
          <w:bottom w:val="none" w:color="000000" w:sz="2" w:space="1"/>
          <w:right w:val="none" w:color="000000" w:sz="2" w:space="4"/>
        </w:pBdr>
        <w:rPr>
          <w:rFonts w:ascii="Calibri"/>
          <w:color w:val="0000ff"/>
        </w:rPr>
      </w:pPr>
    </w:p>
    <w:p>
      <w:pPr>
        <w:pStyle w:val="0"/>
        <w:widowControl w:val="off"/>
        <w:pBdr>
          <w:top w:val="none" w:color="000000" w:sz="2" w:space="1"/>
          <w:left w:val="none" w:color="000000" w:sz="2" w:space="4"/>
          <w:bottom w:val="none" w:color="000000" w:sz="2" w:space="1"/>
          <w:right w:val="none" w:color="000000" w:sz="2" w:space="4"/>
        </w:pBdr>
      </w:pPr>
      <w:r>
        <w:rPr>
          <w:rFonts w:ascii="Calibri"/>
          <w:color w:val="0000ff"/>
        </w:rPr>
        <w:t xml:space="preserve">Authors retain copyright and grant the journal right of first publication with the work simultaneously licensed under a </w:t>
      </w:r>
      <w:hyperlink w:history="1" r:id="rId7">
        <w:r>
          <w:rPr>
            <w:rFonts w:ascii="Calibri"/>
            <w:color w:val="0000ff"/>
            <w:u w:val="single" w:color="0000ff"/>
          </w:rPr>
          <w:t>Creative Commons Attribution License</w:t>
        </w:r>
      </w:hyperlink>
      <w:r>
        <w:rPr>
          <w:rFonts w:ascii="Calibri"/>
          <w:color w:val="0000ff"/>
        </w:rPr>
        <w:t xml:space="preserve"> that allows others to share the work with an acknowledgement of the work's authorship and initial publication in this journal.</w:t>
      </w:r>
    </w:p>
    <w:p>
      <w:pPr>
        <w:pStyle w:val="0"/>
        <w:widowControl w:val="off"/>
        <w:pBdr>
          <w:top w:val="none" w:color="000000" w:sz="2" w:space="1"/>
          <w:left w:val="none" w:color="000000" w:sz="2" w:space="4"/>
          <w:bottom w:val="none" w:color="000000" w:sz="2" w:space="1"/>
          <w:right w:val="none" w:color="000000" w:sz="2" w:space="4"/>
        </w:pBdr>
        <w:rPr>
          <w:rFonts w:ascii="Calibri"/>
          <w:color w:val="0000ff"/>
        </w:rPr>
      </w:pPr>
    </w:p>
    <w:p>
      <w:pPr>
        <w:pStyle w:val="0"/>
        <w:widowControl w:val="off"/>
        <w:pBdr>
          <w:top w:val="none" w:color="000000" w:sz="2" w:space="1"/>
          <w:left w:val="none" w:color="000000" w:sz="2" w:space="4"/>
          <w:bottom w:val="none" w:color="000000" w:sz="2" w:space="1"/>
          <w:right w:val="none" w:color="000000" w:sz="2" w:space="4"/>
        </w:pBdr>
      </w:pPr>
      <w:r>
        <w:rPr>
          <w:rFonts w:ascii="Calibri"/>
          <w:color w:val="0000ff"/>
        </w:rPr>
        <w:t>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w:t>
      </w:r>
    </w:p>
    <w:p>
      <w:pPr>
        <w:pStyle w:val="0"/>
        <w:widowControl w:val="off"/>
        <w:pBdr>
          <w:top w:val="none" w:color="000000" w:sz="2" w:space="1"/>
          <w:left w:val="none" w:color="000000" w:sz="2" w:space="4"/>
          <w:bottom w:val="none" w:color="000000" w:sz="2" w:space="1"/>
          <w:right w:val="none" w:color="000000" w:sz="2" w:space="4"/>
        </w:pBdr>
        <w:rPr>
          <w:rFonts w:ascii="Calibri"/>
          <w:color w:val="0000ff"/>
        </w:rPr>
      </w:pPr>
    </w:p>
    <w:p>
      <w:pPr>
        <w:pStyle w:val="0"/>
        <w:widowControl w:val="off"/>
        <w:pBdr>
          <w:top w:val="none" w:color="000000" w:sz="2" w:space="1"/>
          <w:left w:val="none" w:color="000000" w:sz="2" w:space="4"/>
          <w:bottom w:val="none" w:color="000000" w:sz="2" w:space="1"/>
          <w:right w:val="none" w:color="000000" w:sz="2" w:space="4"/>
        </w:pBdr>
      </w:pPr>
      <w:r>
        <w:rPr>
          <w:rFonts w:ascii="Calibri"/>
          <w:color w:val="0000ff"/>
        </w:rPr>
        <w:t>By submitting this paper you agree to the terms of this Copyright Notice, which will apply to this submission if and when it is published by this journal.</w:t>
      </w:r>
    </w:p>
    <w:sectPr>
      <w:headerReference r:id="rId1" w:type="default"/>
      <w:footnotePr>
        <w:numFmt w:val="decimal"/>
        <w:numRestart w:val="continuous"/>
      </w:footnotePr>
      <w:endnotePr>
        <w:pos w:val="docEnd"/>
        <w:numFmt w:val="lowerRoman"/>
        <w:numRestart w:val="continuous"/>
      </w:endnotePr>
      <w:pgSz w:w="11899" w:h="16838"/>
      <w:pgMar w:top="1440" w:right="1797" w:bottom="2268" w:left="1797" w:header="709" w:footer="709" w:gutter="0"/>
      <w:cols w:space="0"/>
    </w:sectPr>
  </w:body>
</w:document>
</file>

<file path=word/header6.xml><?xml version="1.0" encoding="utf-8"?>
<w:hd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15"/>
      <w:widowControl w:val="off"/>
      <w:jc w:val="right"/>
    </w:pPr>
    <w:r>
      <w:rPr>
        <w:color w:val="bfbfbf"/>
      </w:rPr>
      <w:t>UP JOAD Data Paper template version 0.3</w:t>
    </w:r>
  </w:p>
</w:hdr>
</file>

<file path=word/settings.xml><?xml version="1.0" encoding="utf-8"?>
<w:setting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zoom w:percent="100"/>
  <w:bordersDoNotSurroundHeader/>
  <w:bordersDoNotSurroundFooter/>
  <w:stylePaneFormatFilter w:val="0001"/>
  <w:defaultTabStop w:val="720"/>
  <w:compat>
    <w:spaceForUL/>
    <w:balanceSingleByteDoubleByteWidth/>
    <w:doNotLeaveBackslashAlone/>
    <w:ulTrailSpace/>
    <w:doNotExpandShiftReturn/>
    <w:adjustLineHeightInTable/>
    <w:useFELayout/>
  </w:compat>
</w:settings>
</file>

<file path=word/styles.xml><?xml version="1.0" encoding="utf-8"?>
<w:style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style w:type="paragraph" w:styleId="0" w:default="1">
    <w:name w:val="Normal"/>
    <w:uiPriority w:val="0"/>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240" w:lineRule="auto"/>
      <w:ind w:left="0" w:right="0" w:firstLine="0"/>
      <w:jc w:val="left"/>
      <w:textAlignment w:val="baseline"/>
    </w:pPr>
    <w:rPr>
      <w:rFonts w:ascii="Arial" w:eastAsia="바탕"/>
      <w:color w:val="000000"/>
      <w:sz w:val="24"/>
    </w:rPr>
  </w:style>
  <w:style w:type="paragraph" w:styleId="1">
    <w:name w:val="Balloon Text"/>
    <w:uiPriority w:val="1"/>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240" w:lineRule="auto"/>
      <w:ind w:left="0" w:right="0" w:firstLine="0"/>
      <w:jc w:val="left"/>
      <w:textAlignment w:val="baseline"/>
    </w:pPr>
    <w:rPr>
      <w:rFonts w:ascii="Lucida Grande" w:eastAsia="바탕"/>
      <w:color w:val="000000"/>
      <w:sz w:val="18"/>
    </w:rPr>
  </w:style>
  <w:style w:type="character" w:styleId="2">
    <w:name w:val="Default Paragraph Font"/>
    <w:uiPriority w:val="2"/>
    <w:rPr>
      <w:rFonts w:ascii="Times New Roman" w:eastAsia="바탕"/>
      <w:color w:val="000000"/>
      <w:sz w:val="20"/>
    </w:rPr>
  </w:style>
  <w:style w:type="character" w:styleId="3">
    <w:name w:val="Hyperlink"/>
    <w:uiPriority w:val="3"/>
    <w:rPr>
      <w:rFonts w:ascii="Times New Roman" w:eastAsia="바탕"/>
      <w:color w:val="0000ff"/>
      <w:sz w:val="20"/>
      <w:u w:val="single" w:color="0000ff"/>
    </w:rPr>
  </w:style>
  <w:style w:type="paragraph" w:styleId="4">
    <w:name w:val="List Paragraph"/>
    <w:uiPriority w:val="4"/>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0" w:after="0" w:line="240" w:lineRule="auto"/>
      <w:ind w:left="720" w:right="0" w:firstLine="0"/>
      <w:jc w:val="left"/>
      <w:textAlignment w:val="baseline"/>
    </w:pPr>
    <w:rPr>
      <w:rFonts w:ascii="Arial" w:eastAsia="바탕"/>
      <w:color w:val="000000"/>
      <w:sz w:val="24"/>
    </w:rPr>
  </w:style>
  <w:style w:type="paragraph" w:styleId="5">
    <w:name w:val="No List"/>
    <w:uiPriority w:val="5"/>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240" w:lineRule="auto"/>
      <w:ind w:left="0" w:right="0" w:firstLine="0"/>
      <w:jc w:val="left"/>
      <w:textAlignment w:val="baseline"/>
    </w:pPr>
    <w:rPr>
      <w:rFonts w:ascii="Times New Roman" w:eastAsia="바탕"/>
      <w:color w:val="000000"/>
      <w:sz w:val="20"/>
    </w:rPr>
  </w:style>
  <w:style w:type="paragraph" w:styleId="6">
    <w:name w:val="Revision"/>
    <w:uiPriority w:val="6"/>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240" w:lineRule="auto"/>
      <w:ind w:left="0" w:right="0" w:firstLine="0"/>
      <w:jc w:val="left"/>
      <w:textAlignment w:val="baseline"/>
    </w:pPr>
    <w:rPr>
      <w:rFonts w:ascii="Arial" w:eastAsia="바탕"/>
      <w:color w:val="000000"/>
      <w:sz w:val="24"/>
    </w:rPr>
  </w:style>
  <w:style w:type="paragraph" w:styleId="7">
    <w:name w:val="UP Paper Title"/>
    <w:uiPriority w:val="7"/>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240" w:lineRule="auto"/>
      <w:ind w:left="0" w:right="0" w:firstLine="0"/>
      <w:jc w:val="left"/>
      <w:textAlignment w:val="baseline"/>
    </w:pPr>
    <w:rPr>
      <w:rFonts w:ascii="Arial" w:eastAsia="바탕"/>
      <w:b/>
      <w:color w:val="000000"/>
      <w:sz w:val="28"/>
    </w:rPr>
  </w:style>
  <w:style w:type="paragraph" w:styleId="8">
    <w:name w:val="UP Section Heading"/>
    <w:uiPriority w:val="8"/>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240" w:lineRule="auto"/>
      <w:ind w:left="0" w:right="0" w:firstLine="0"/>
      <w:jc w:val="left"/>
      <w:textAlignment w:val="baseline"/>
    </w:pPr>
    <w:rPr>
      <w:rFonts w:ascii="Arial" w:eastAsia="바탕"/>
      <w:b/>
      <w:color w:val="000000"/>
      <w:sz w:val="26"/>
    </w:rPr>
  </w:style>
  <w:style w:type="character" w:styleId="9">
    <w:name w:val="Unresolved Mention"/>
    <w:uiPriority w:val="9"/>
    <w:rPr>
      <w:rFonts w:ascii="Times New Roman" w:eastAsia="바탕"/>
      <w:color w:val="605e5c"/>
      <w:sz w:val="20"/>
      <w:shd w:val="clear" w:color="000000" w:fill="e1dfdd"/>
    </w:rPr>
  </w:style>
  <w:style w:type="character" w:styleId="10">
    <w:name w:val="annotation reference"/>
    <w:uiPriority w:val="10"/>
    <w:rPr>
      <w:rFonts w:ascii="Times New Roman" w:eastAsia="바탕"/>
      <w:color w:val="000000"/>
      <w:sz w:val="16"/>
    </w:rPr>
  </w:style>
  <w:style w:type="paragraph" w:styleId="11">
    <w:name w:val="annotation subject"/>
    <w:uiPriority w:val="11"/>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240" w:lineRule="auto"/>
      <w:ind w:left="0" w:right="0" w:firstLine="0"/>
      <w:jc w:val="left"/>
      <w:textAlignment w:val="baseline"/>
    </w:pPr>
    <w:rPr>
      <w:rFonts w:ascii="Arial" w:eastAsia="바탕"/>
      <w:b/>
      <w:color w:val="000000"/>
      <w:sz w:val="20"/>
    </w:rPr>
  </w:style>
  <w:style w:type="paragraph" w:styleId="12">
    <w:name w:val="annotation text"/>
    <w:uiPriority w:val="12"/>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240" w:lineRule="auto"/>
      <w:ind w:left="0" w:right="0" w:firstLine="0"/>
      <w:jc w:val="left"/>
      <w:textAlignment w:val="baseline"/>
    </w:pPr>
    <w:rPr>
      <w:rFonts w:ascii="Arial" w:eastAsia="바탕"/>
      <w:color w:val="000000"/>
      <w:sz w:val="20"/>
    </w:rPr>
  </w:style>
  <w:style w:type="paragraph" w:styleId="13">
    <w:name w:val="caption"/>
    <w:uiPriority w:val="13"/>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240" w:lineRule="auto"/>
      <w:ind w:left="0" w:right="0" w:firstLine="0"/>
      <w:jc w:val="left"/>
      <w:textAlignment w:val="baseline"/>
    </w:pPr>
    <w:rPr>
      <w:rFonts w:ascii="Arial" w:eastAsia="바탕"/>
      <w:b/>
      <w:color w:val="000000"/>
      <w:sz w:val="20"/>
    </w:rPr>
  </w:style>
  <w:style w:type="paragraph" w:styleId="14">
    <w:name w:val="footer"/>
    <w:uiPriority w:val="14"/>
    <w:pPr>
      <w:widowControl w:val="off"/>
      <w:pBdr>
        <w:top w:val="none" w:color="000000" w:sz="2" w:space="1"/>
        <w:left w:val="none" w:color="000000" w:sz="2" w:space="4"/>
        <w:bottom w:val="none" w:color="000000" w:sz="2" w:space="1"/>
        <w:right w:val="none" w:color="000000" w:sz="2" w:space="4"/>
      </w:pBdr>
      <w:tabs>
        <w:tab w:val="center" w:leader="none" w:pos="4320"/>
        <w:tab w:val="right" w:leader="none" w:pos="8640"/>
      </w:tabs>
      <w:wordWrap w:val="1"/>
      <w:autoSpaceDE w:val="off"/>
      <w:autoSpaceDN w:val="off"/>
      <w:snapToGrid/>
      <w:spacing w:before="0" w:after="0" w:line="240" w:lineRule="auto"/>
      <w:ind w:left="0" w:right="0" w:firstLine="0"/>
      <w:jc w:val="left"/>
      <w:textAlignment w:val="baseline"/>
    </w:pPr>
    <w:rPr>
      <w:rFonts w:ascii="Arial" w:eastAsia="바탕"/>
      <w:color w:val="000000"/>
      <w:sz w:val="24"/>
    </w:rPr>
  </w:style>
  <w:style w:type="paragraph" w:styleId="15">
    <w:name w:val="header"/>
    <w:uiPriority w:val="15"/>
    <w:pPr>
      <w:widowControl w:val="off"/>
      <w:pBdr>
        <w:top w:val="none" w:color="000000" w:sz="2" w:space="1"/>
        <w:left w:val="none" w:color="000000" w:sz="2" w:space="4"/>
        <w:bottom w:val="none" w:color="000000" w:sz="2" w:space="1"/>
        <w:right w:val="none" w:color="000000" w:sz="2" w:space="4"/>
      </w:pBdr>
      <w:tabs>
        <w:tab w:val="center" w:leader="none" w:pos="4320"/>
        <w:tab w:val="right" w:leader="none" w:pos="8640"/>
      </w:tabs>
      <w:wordWrap w:val="1"/>
      <w:autoSpaceDE w:val="off"/>
      <w:autoSpaceDN w:val="off"/>
      <w:snapToGrid/>
      <w:spacing w:before="0" w:after="0" w:line="240" w:lineRule="auto"/>
      <w:ind w:left="0" w:right="0" w:firstLine="0"/>
      <w:jc w:val="left"/>
      <w:textAlignment w:val="baseline"/>
    </w:pPr>
    <w:rPr>
      <w:rFonts w:ascii="Arial" w:eastAsia="바탕"/>
      <w:color w:val="000000"/>
      <w:sz w:val="24"/>
    </w:rPr>
  </w:style>
  <w:style w:type="character" w:styleId="16">
    <w:name w:val="mini"/>
    <w:uiPriority w:val="16"/>
    <w:rPr>
      <w:rFonts w:ascii="Times New Roman" w:eastAsia="바탕"/>
      <w:color w:val="000000"/>
      <w:sz w:val="20"/>
    </w:rPr>
  </w:style>
  <w:style w:type="character" w:styleId="17">
    <w:name w:val="머리글 Char"/>
    <w:uiPriority w:val="17"/>
    <w:rPr>
      <w:rFonts w:ascii="Arial" w:eastAsia="바탕"/>
      <w:color w:val="000000"/>
      <w:sz w:val="24"/>
    </w:rPr>
  </w:style>
  <w:style w:type="character" w:styleId="18">
    <w:name w:val="메모 주제 Char"/>
    <w:uiPriority w:val="18"/>
    <w:rPr>
      <w:rFonts w:ascii="Arial" w:eastAsia="바탕"/>
      <w:b/>
      <w:color w:val="000000"/>
      <w:sz w:val="20"/>
    </w:rPr>
  </w:style>
  <w:style w:type="character" w:styleId="19">
    <w:name w:val="메모 텍스트 Char"/>
    <w:uiPriority w:val="19"/>
    <w:rPr>
      <w:rFonts w:ascii="Arial" w:eastAsia="바탕"/>
      <w:color w:val="000000"/>
      <w:sz w:val="20"/>
    </w:rPr>
  </w:style>
  <w:style w:type="character" w:styleId="20">
    <w:name w:val="바닥글 Char"/>
    <w:uiPriority w:val="20"/>
    <w:rPr>
      <w:rFonts w:ascii="Arial" w:eastAsia="바탕"/>
      <w:color w:val="000000"/>
      <w:sz w:val="24"/>
    </w:rPr>
  </w:style>
  <w:style w:type="paragraph" w:styleId="21">
    <w:name w:val="바탕글"/>
    <w:uiPriority w:val="2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0" w:right="0" w:firstLine="0"/>
      <w:jc w:val="both"/>
      <w:textAlignment w:val="baseline"/>
    </w:pPr>
    <w:rPr>
      <w:rFonts w:ascii="함초롬돋움" w:eastAsia="함초롬돋움"/>
      <w:color w:val="000000"/>
      <w:sz w:val="20"/>
    </w:rPr>
  </w:style>
</w:styles>
</file>

<file path=word/_rels/document.xml.rels><?xml version="1.0" encoding="UTF-8" standalone="yes" ?><Relationships xmlns="http://schemas.openxmlformats.org/package/2006/relationships"><Relationship Id="rId1" Type="http://schemas.openxmlformats.org/officeDocument/2006/relationships/header" Target="header6.xml"  /><Relationship Id="rId2" Type="http://schemas.openxmlformats.org/officeDocument/2006/relationships/image" Target="media/image3.png"  /><Relationship Id="rId3" Type="http://schemas.openxmlformats.org/officeDocument/2006/relationships/hyperlink" Target="https://doi.org/10.18040/sgs.2023.119.55" TargetMode="External" /><Relationship Id="rId4" Type="http://schemas.openxmlformats.org/officeDocument/2006/relationships/hyperlink" Target="https://doi.org/10.16912/tkhr.2024.12.264.73" TargetMode="External" /><Relationship Id="rId5" Type="http://schemas.openxmlformats.org/officeDocument/2006/relationships/hyperlink" Target="https://doi.org/10.18040/sgs.2025.129.99" TargetMode="External" /><Relationship Id="rId6" Type="http://schemas.openxmlformats.org/officeDocument/2006/relationships/hyperlink" Target="https://doi.org/10.47439/JKRAS.2025.2.333" TargetMode="External" /><Relationship Id="rId7" Type="http://schemas.openxmlformats.org/officeDocument/2006/relationships/hyperlink" Target="http://creativecommons.org/licenses/by/3.0/" TargetMode="External" /><Relationship Id="rId8" Type="http://schemas.openxmlformats.org/officeDocument/2006/relationships/settings" Target="settings.xml"  /><Relationship Id="rId9" Type="http://schemas.openxmlformats.org/officeDocument/2006/relationships/styles" Target="styles.xml"  /></Relationships>
</file>

<file path=docProps/app.xml><?xml version="1.0" encoding="utf-8"?>
<ep:Properties xmlns:r="http://schemas.openxmlformats.org/officeDocument/2006/relationships" xmlns:ep="http://schemas.openxmlformats.org/officeDocument/2006/extended-properties" xmlns:vt="http://schemas.openxmlformats.org/officeDocument/2006/docPropsVTypes">
  <ep:Application>Hancom Office Hanword</ep:Application>
  <ep:AppVersion>12.3</ep:AppVersion>
</ep:Properties>
</file>

<file path=docProps/core.xml><?xml version="1.0" encoding="utf-8"?>
<cp:coreProperties xmlns:r="http://schemas.openxmlformats.org/officeDocument/2006/relationships" xmlns:cp="http://schemas.openxmlformats.org/package/2006/metadata/core-properties" xmlns:dc="http://purl.org/dc/elements/1.1/" xmlns:dcterms="http://purl.org/dc/terms/" xmlns:dcmitype="http://purl.org/dc/dcmitype/" xmlns:xsi="http://www.w3.org/2001/XMLSchema-instance">
  <dc:creator>Jacqueline Barlow</dc:creator>
  <cp:lastModifiedBy>jch</cp:lastModifiedBy>
  <dcterms:created xsi:type="dcterms:W3CDTF">2025-12-11T08:56:00.000</dcterms:created>
  <dcterms:modified xsi:type="dcterms:W3CDTF">2026-01-01T07:31:21.278</dcterms:modified>
  <cp:version>0501.0100.10</cp:version>
</cp:coreProperties>
</file>